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49EF3" w14:textId="578EEB3B" w:rsidR="00A868E1" w:rsidRDefault="00E86DF4" w:rsidP="002F6648">
      <w:pPr>
        <w:pStyle w:val="Heading1"/>
        <w:tabs>
          <w:tab w:val="left" w:pos="6675"/>
        </w:tabs>
        <w:ind w:left="-2160" w:firstLine="180"/>
      </w:pPr>
      <w:bookmarkStart w:id="0" w:name="_GoBack"/>
      <w:bookmarkEnd w:id="0"/>
      <w:r>
        <w:rPr>
          <w:sz w:val="24"/>
        </w:rPr>
        <w:t>Issue</w:t>
      </w:r>
      <w:r w:rsidR="00D0530D">
        <w:rPr>
          <w:sz w:val="24"/>
        </w:rPr>
        <w:tab/>
      </w:r>
    </w:p>
    <w:p w14:paraId="0BE82991" w14:textId="77777777" w:rsidR="00245DF7" w:rsidRPr="0084460E" w:rsidRDefault="00742980" w:rsidP="0084460E">
      <w:pPr>
        <w:ind w:left="-810"/>
        <w:rPr>
          <w:sz w:val="24"/>
        </w:rPr>
      </w:pPr>
      <w:r w:rsidRPr="0084460E">
        <w:rPr>
          <w:sz w:val="24"/>
        </w:rPr>
        <w:t xml:space="preserve">Each Service is currently handling Assets Purchased in Quantity differently and the regulations do not </w:t>
      </w:r>
      <w:r w:rsidR="00AF6D8B" w:rsidRPr="0084460E">
        <w:rPr>
          <w:sz w:val="24"/>
        </w:rPr>
        <w:t xml:space="preserve">provide </w:t>
      </w:r>
      <w:r w:rsidRPr="0084460E">
        <w:rPr>
          <w:sz w:val="24"/>
        </w:rPr>
        <w:t xml:space="preserve">sufficient latitude in accurately spreading the cost of bulk purchase items over the useful life of the </w:t>
      </w:r>
      <w:r w:rsidR="00AF6D8B" w:rsidRPr="0084460E">
        <w:rPr>
          <w:sz w:val="24"/>
        </w:rPr>
        <w:t>purchases</w:t>
      </w:r>
      <w:r w:rsidR="00AF6BD9" w:rsidRPr="0084460E">
        <w:rPr>
          <w:sz w:val="24"/>
        </w:rPr>
        <w:t>.</w:t>
      </w:r>
      <w:r w:rsidRPr="0084460E">
        <w:rPr>
          <w:sz w:val="24"/>
        </w:rPr>
        <w:t> </w:t>
      </w:r>
    </w:p>
    <w:p w14:paraId="273036C9" w14:textId="648F53F9" w:rsidR="002479EF" w:rsidRDefault="0065297E" w:rsidP="0065297E">
      <w:pPr>
        <w:tabs>
          <w:tab w:val="left" w:pos="9912"/>
        </w:tabs>
        <w:ind w:left="-810"/>
        <w:rPr>
          <w:sz w:val="24"/>
        </w:rPr>
      </w:pPr>
      <w:r>
        <w:rPr>
          <w:sz w:val="24"/>
        </w:rPr>
        <w:tab/>
      </w:r>
    </w:p>
    <w:p w14:paraId="7FB2730A" w14:textId="77777777" w:rsidR="002479EF" w:rsidRDefault="002479EF" w:rsidP="002479EF">
      <w:pPr>
        <w:pStyle w:val="Heading1"/>
        <w:tabs>
          <w:tab w:val="left" w:pos="6675"/>
        </w:tabs>
        <w:ind w:left="-2160" w:firstLine="180"/>
        <w:rPr>
          <w:sz w:val="24"/>
        </w:rPr>
      </w:pPr>
      <w:r>
        <w:rPr>
          <w:sz w:val="24"/>
        </w:rPr>
        <w:t>Research</w:t>
      </w:r>
    </w:p>
    <w:p w14:paraId="7BF44568" w14:textId="64559CA5" w:rsidR="002479EF" w:rsidRDefault="002479EF" w:rsidP="002479EF">
      <w:pPr>
        <w:ind w:left="-810"/>
        <w:rPr>
          <w:sz w:val="24"/>
        </w:rPr>
      </w:pPr>
      <w:r>
        <w:rPr>
          <w:sz w:val="24"/>
        </w:rPr>
        <w:t>Below outlines the capitalization threshold</w:t>
      </w:r>
      <w:r w:rsidR="00E305D9">
        <w:rPr>
          <w:sz w:val="24"/>
        </w:rPr>
        <w:t xml:space="preserve"> of assets purchased in quantity, h</w:t>
      </w:r>
      <w:r>
        <w:rPr>
          <w:sz w:val="24"/>
        </w:rPr>
        <w:t>ow each service complies and what the regulations, accounting guidance and industry standards are for this area.</w:t>
      </w:r>
    </w:p>
    <w:p w14:paraId="6517B3DF" w14:textId="77777777" w:rsidR="00ED6A35" w:rsidRDefault="002479EF" w:rsidP="002479EF">
      <w:pPr>
        <w:ind w:left="-810"/>
        <w:rPr>
          <w:sz w:val="24"/>
        </w:rPr>
      </w:pPr>
      <w:r>
        <w:rPr>
          <w:sz w:val="24"/>
        </w:rPr>
        <w:t xml:space="preserve"> </w:t>
      </w:r>
    </w:p>
    <w:tbl>
      <w:tblPr>
        <w:tblStyle w:val="GridTable4"/>
        <w:tblpPr w:leftFromText="180" w:rightFromText="180" w:vertAnchor="text" w:horzAnchor="page" w:tblpXSpec="center" w:tblpY="151"/>
        <w:tblW w:w="14670" w:type="dxa"/>
        <w:tblLayout w:type="fixed"/>
        <w:tblLook w:val="04A0" w:firstRow="1" w:lastRow="0" w:firstColumn="1" w:lastColumn="0" w:noHBand="0" w:noVBand="1"/>
      </w:tblPr>
      <w:tblGrid>
        <w:gridCol w:w="7645"/>
        <w:gridCol w:w="1620"/>
        <w:gridCol w:w="90"/>
        <w:gridCol w:w="1710"/>
        <w:gridCol w:w="1980"/>
        <w:gridCol w:w="1625"/>
      </w:tblGrid>
      <w:tr w:rsidR="00D97570" w:rsidRPr="00655FDE" w14:paraId="251ED8FF" w14:textId="77777777" w:rsidTr="00E4750C">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7645" w:type="dxa"/>
            <w:vAlign w:val="center"/>
          </w:tcPr>
          <w:p w14:paraId="49D46BB9" w14:textId="02EF8ADC" w:rsidR="00D97570" w:rsidRPr="00AB72D0" w:rsidRDefault="008F7DF8" w:rsidP="008F7DF8">
            <w:pPr>
              <w:rPr>
                <w:rFonts w:asciiTheme="minorHAnsi" w:hAnsiTheme="minorHAnsi" w:cs="Times New Roman"/>
                <w:sz w:val="26"/>
                <w:szCs w:val="26"/>
              </w:rPr>
            </w:pPr>
            <w:r>
              <w:rPr>
                <w:sz w:val="26"/>
                <w:szCs w:val="26"/>
              </w:rPr>
              <w:t>Assets Purchased in Quantity Treatment and Guidelines</w:t>
            </w:r>
          </w:p>
        </w:tc>
        <w:tc>
          <w:tcPr>
            <w:tcW w:w="1620" w:type="dxa"/>
            <w:vAlign w:val="center"/>
          </w:tcPr>
          <w:p w14:paraId="75356F1F" w14:textId="77777777" w:rsidR="00D97570" w:rsidRPr="00AB72D0" w:rsidRDefault="00D97570" w:rsidP="00E47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sidRPr="00AB72D0">
              <w:rPr>
                <w:rFonts w:asciiTheme="minorHAnsi" w:hAnsiTheme="minorHAnsi" w:cs="Times New Roman"/>
                <w:sz w:val="26"/>
                <w:szCs w:val="26"/>
              </w:rPr>
              <w:t>Air Force</w:t>
            </w:r>
          </w:p>
        </w:tc>
        <w:tc>
          <w:tcPr>
            <w:tcW w:w="1800" w:type="dxa"/>
            <w:gridSpan w:val="2"/>
            <w:vAlign w:val="center"/>
          </w:tcPr>
          <w:p w14:paraId="1DF4ED14" w14:textId="77777777" w:rsidR="00D97570" w:rsidRPr="00AB72D0" w:rsidRDefault="00D97570" w:rsidP="00E47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sidRPr="00AB72D0">
              <w:rPr>
                <w:rFonts w:asciiTheme="minorHAnsi" w:hAnsiTheme="minorHAnsi" w:cs="Times New Roman"/>
                <w:sz w:val="26"/>
                <w:szCs w:val="26"/>
              </w:rPr>
              <w:t>Army</w:t>
            </w:r>
          </w:p>
        </w:tc>
        <w:tc>
          <w:tcPr>
            <w:tcW w:w="1980" w:type="dxa"/>
            <w:vAlign w:val="center"/>
          </w:tcPr>
          <w:p w14:paraId="5837D2A2" w14:textId="77777777" w:rsidR="00D97570" w:rsidRPr="00AB72D0" w:rsidRDefault="00D97570" w:rsidP="00E47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sidRPr="00AB72D0">
              <w:rPr>
                <w:rFonts w:asciiTheme="minorHAnsi" w:hAnsiTheme="minorHAnsi" w:cs="Times New Roman"/>
                <w:sz w:val="26"/>
                <w:szCs w:val="26"/>
              </w:rPr>
              <w:t>Navy</w:t>
            </w:r>
          </w:p>
        </w:tc>
        <w:tc>
          <w:tcPr>
            <w:tcW w:w="1625" w:type="dxa"/>
            <w:vAlign w:val="center"/>
          </w:tcPr>
          <w:p w14:paraId="70987DCB" w14:textId="77777777" w:rsidR="00D97570" w:rsidRPr="00AB72D0" w:rsidRDefault="00D97570" w:rsidP="00E47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6"/>
                <w:szCs w:val="26"/>
              </w:rPr>
            </w:pPr>
            <w:r w:rsidRPr="00AB72D0">
              <w:rPr>
                <w:rFonts w:asciiTheme="minorHAnsi" w:hAnsiTheme="minorHAnsi" w:cs="Times New Roman"/>
                <w:sz w:val="26"/>
                <w:szCs w:val="26"/>
              </w:rPr>
              <w:t>Marines</w:t>
            </w:r>
          </w:p>
        </w:tc>
      </w:tr>
      <w:tr w:rsidR="00D97570" w:rsidRPr="00655FDE" w14:paraId="2E3EDF41" w14:textId="77777777" w:rsidTr="00E47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2B77790B" w14:textId="4985F306" w:rsidR="00D97570" w:rsidRPr="003D27B2" w:rsidRDefault="00AA017B" w:rsidP="00E4750C">
            <w:pPr>
              <w:rPr>
                <w:rFonts w:asciiTheme="minorHAnsi" w:hAnsiTheme="minorHAnsi" w:cs="Times New Roman"/>
                <w:sz w:val="24"/>
                <w:szCs w:val="24"/>
              </w:rPr>
            </w:pPr>
            <w:r>
              <w:rPr>
                <w:rFonts w:asciiTheme="minorHAnsi" w:hAnsiTheme="minorHAnsi" w:cs="Times New Roman"/>
                <w:sz w:val="24"/>
                <w:szCs w:val="24"/>
              </w:rPr>
              <w:t xml:space="preserve">Services’ Process for </w:t>
            </w:r>
            <w:r w:rsidR="00D97570">
              <w:rPr>
                <w:rFonts w:asciiTheme="minorHAnsi" w:hAnsiTheme="minorHAnsi" w:cs="Times New Roman"/>
                <w:sz w:val="24"/>
                <w:szCs w:val="24"/>
              </w:rPr>
              <w:t xml:space="preserve">Capitalization of Assets Purchased in Quantity </w:t>
            </w:r>
          </w:p>
        </w:tc>
        <w:tc>
          <w:tcPr>
            <w:tcW w:w="1710" w:type="dxa"/>
            <w:gridSpan w:val="2"/>
          </w:tcPr>
          <w:p w14:paraId="2ECD9130" w14:textId="6242DBB5" w:rsidR="00D97570" w:rsidRDefault="00D97570" w:rsidP="00E4750C">
            <w:pPr>
              <w:cnfStyle w:val="000000100000" w:firstRow="0" w:lastRow="0" w:firstColumn="0" w:lastColumn="0" w:oddVBand="0" w:evenVBand="0" w:oddHBand="1" w:evenHBand="0" w:firstRowFirstColumn="0" w:firstRowLastColumn="0" w:lastRowFirstColumn="0" w:lastRowLastColumn="0"/>
              <w:rPr>
                <w:sz w:val="24"/>
                <w:szCs w:val="24"/>
              </w:rPr>
            </w:pPr>
            <w:r w:rsidRPr="00710D7A">
              <w:rPr>
                <w:sz w:val="24"/>
                <w:szCs w:val="24"/>
              </w:rPr>
              <w:t xml:space="preserve">Single item </w:t>
            </w:r>
            <w:r w:rsidR="001B6864">
              <w:rPr>
                <w:sz w:val="24"/>
                <w:szCs w:val="24"/>
              </w:rPr>
              <w:t xml:space="preserve">less than </w:t>
            </w:r>
            <w:r w:rsidRPr="00710D7A">
              <w:rPr>
                <w:sz w:val="24"/>
                <w:szCs w:val="24"/>
              </w:rPr>
              <w:t>$1</w:t>
            </w:r>
            <w:r w:rsidR="001B6864">
              <w:rPr>
                <w:sz w:val="24"/>
                <w:szCs w:val="24"/>
              </w:rPr>
              <w:t>,</w:t>
            </w:r>
            <w:r w:rsidRPr="00710D7A">
              <w:rPr>
                <w:sz w:val="24"/>
                <w:szCs w:val="24"/>
              </w:rPr>
              <w:t xml:space="preserve">000; total </w:t>
            </w:r>
            <w:r w:rsidR="00742980">
              <w:rPr>
                <w:sz w:val="24"/>
                <w:szCs w:val="24"/>
              </w:rPr>
              <w:t xml:space="preserve">purchase </w:t>
            </w:r>
            <w:r w:rsidRPr="00710D7A">
              <w:rPr>
                <w:sz w:val="24"/>
                <w:szCs w:val="24"/>
              </w:rPr>
              <w:t xml:space="preserve">of </w:t>
            </w:r>
          </w:p>
          <w:p w14:paraId="1F47AC37" w14:textId="752FD739" w:rsidR="00D97570" w:rsidRPr="00710D7A" w:rsidRDefault="00D97570" w:rsidP="00E4750C">
            <w:pPr>
              <w:cnfStyle w:val="000000100000" w:firstRow="0" w:lastRow="0" w:firstColumn="0" w:lastColumn="0" w:oddVBand="0" w:evenVBand="0" w:oddHBand="1" w:evenHBand="0" w:firstRowFirstColumn="0" w:firstRowLastColumn="0" w:lastRowFirstColumn="0" w:lastRowLastColumn="0"/>
              <w:rPr>
                <w:sz w:val="24"/>
                <w:szCs w:val="24"/>
              </w:rPr>
            </w:pPr>
            <w:r w:rsidRPr="00710D7A">
              <w:rPr>
                <w:sz w:val="24"/>
                <w:szCs w:val="24"/>
              </w:rPr>
              <w:t>$2</w:t>
            </w:r>
            <w:r w:rsidR="00E305D9">
              <w:rPr>
                <w:sz w:val="24"/>
                <w:szCs w:val="24"/>
              </w:rPr>
              <w:t>,</w:t>
            </w:r>
            <w:r w:rsidRPr="00710D7A">
              <w:rPr>
                <w:sz w:val="24"/>
                <w:szCs w:val="24"/>
              </w:rPr>
              <w:t>000 or more</w:t>
            </w:r>
          </w:p>
        </w:tc>
        <w:tc>
          <w:tcPr>
            <w:tcW w:w="1710" w:type="dxa"/>
          </w:tcPr>
          <w:p w14:paraId="1BA6824A" w14:textId="3F5EF204" w:rsidR="00D97570" w:rsidRPr="00710D7A" w:rsidRDefault="00D97570" w:rsidP="00742980">
            <w:pPr>
              <w:cnfStyle w:val="000000100000" w:firstRow="0" w:lastRow="0" w:firstColumn="0" w:lastColumn="0" w:oddVBand="0" w:evenVBand="0" w:oddHBand="1" w:evenHBand="0" w:firstRowFirstColumn="0" w:firstRowLastColumn="0" w:lastRowFirstColumn="0" w:lastRowLastColumn="0"/>
              <w:rPr>
                <w:sz w:val="24"/>
                <w:szCs w:val="24"/>
              </w:rPr>
            </w:pPr>
            <w:r w:rsidRPr="00710D7A">
              <w:rPr>
                <w:sz w:val="24"/>
                <w:szCs w:val="24"/>
              </w:rPr>
              <w:t>Single item</w:t>
            </w:r>
            <w:r w:rsidR="001B6864">
              <w:rPr>
                <w:sz w:val="24"/>
                <w:szCs w:val="24"/>
              </w:rPr>
              <w:t xml:space="preserve"> less than $100; total</w:t>
            </w:r>
            <w:r w:rsidR="00742980">
              <w:rPr>
                <w:sz w:val="24"/>
                <w:szCs w:val="24"/>
              </w:rPr>
              <w:t xml:space="preserve"> purchase</w:t>
            </w:r>
            <w:r w:rsidR="001B6864">
              <w:rPr>
                <w:sz w:val="24"/>
                <w:szCs w:val="24"/>
              </w:rPr>
              <w:t xml:space="preserve"> of </w:t>
            </w:r>
            <w:r w:rsidRPr="00710D7A">
              <w:rPr>
                <w:sz w:val="24"/>
                <w:szCs w:val="24"/>
              </w:rPr>
              <w:t>$2</w:t>
            </w:r>
            <w:r w:rsidR="001B6864">
              <w:rPr>
                <w:sz w:val="24"/>
                <w:szCs w:val="24"/>
              </w:rPr>
              <w:t>,500 or more</w:t>
            </w:r>
          </w:p>
        </w:tc>
        <w:tc>
          <w:tcPr>
            <w:tcW w:w="1980" w:type="dxa"/>
          </w:tcPr>
          <w:p w14:paraId="5DE10F39" w14:textId="6CF700D9" w:rsidR="00D97570" w:rsidRPr="00710D7A" w:rsidRDefault="00D97570" w:rsidP="00E305D9">
            <w:pPr>
              <w:cnfStyle w:val="000000100000" w:firstRow="0" w:lastRow="0" w:firstColumn="0" w:lastColumn="0" w:oddVBand="0" w:evenVBand="0" w:oddHBand="1" w:evenHBand="0" w:firstRowFirstColumn="0" w:firstRowLastColumn="0" w:lastRowFirstColumn="0" w:lastRowLastColumn="0"/>
              <w:rPr>
                <w:sz w:val="24"/>
                <w:szCs w:val="24"/>
              </w:rPr>
            </w:pPr>
            <w:r w:rsidRPr="00710D7A">
              <w:rPr>
                <w:sz w:val="24"/>
                <w:szCs w:val="24"/>
              </w:rPr>
              <w:t>Total amounts of $1</w:t>
            </w:r>
            <w:r w:rsidR="001B6864">
              <w:rPr>
                <w:sz w:val="24"/>
                <w:szCs w:val="24"/>
              </w:rPr>
              <w:t>,</w:t>
            </w:r>
            <w:r w:rsidRPr="00710D7A">
              <w:rPr>
                <w:sz w:val="24"/>
                <w:szCs w:val="24"/>
              </w:rPr>
              <w:t>000 - $2</w:t>
            </w:r>
            <w:r w:rsidR="001B6864">
              <w:rPr>
                <w:sz w:val="24"/>
                <w:szCs w:val="24"/>
              </w:rPr>
              <w:t>,</w:t>
            </w:r>
            <w:r w:rsidRPr="00710D7A">
              <w:rPr>
                <w:sz w:val="24"/>
                <w:szCs w:val="24"/>
              </w:rPr>
              <w:t>499</w:t>
            </w:r>
            <w:r w:rsidR="001B6864">
              <w:rPr>
                <w:sz w:val="24"/>
                <w:szCs w:val="24"/>
              </w:rPr>
              <w:t xml:space="preserve">.  </w:t>
            </w:r>
            <w:r w:rsidR="007A6EA8">
              <w:rPr>
                <w:sz w:val="24"/>
                <w:szCs w:val="24"/>
              </w:rPr>
              <w:t xml:space="preserve">Total purchase of $2,500 or more.  </w:t>
            </w:r>
            <w:r w:rsidR="00E305D9">
              <w:rPr>
                <w:sz w:val="24"/>
                <w:szCs w:val="24"/>
              </w:rPr>
              <w:t xml:space="preserve">Unique Issue: </w:t>
            </w:r>
            <w:r w:rsidR="001B6864">
              <w:rPr>
                <w:sz w:val="24"/>
                <w:szCs w:val="24"/>
              </w:rPr>
              <w:t>Lodging</w:t>
            </w:r>
            <w:r w:rsidR="00E305D9">
              <w:rPr>
                <w:sz w:val="24"/>
                <w:szCs w:val="24"/>
              </w:rPr>
              <w:t>-</w:t>
            </w:r>
            <w:r w:rsidR="001B6864">
              <w:rPr>
                <w:sz w:val="24"/>
                <w:szCs w:val="24"/>
              </w:rPr>
              <w:t>whole room composite depreciation</w:t>
            </w:r>
          </w:p>
        </w:tc>
        <w:tc>
          <w:tcPr>
            <w:tcW w:w="1625" w:type="dxa"/>
          </w:tcPr>
          <w:p w14:paraId="1E11DC58" w14:textId="6C3038FC" w:rsidR="00D97570" w:rsidRPr="00710D7A" w:rsidRDefault="00D97570" w:rsidP="00E305D9">
            <w:pPr>
              <w:cnfStyle w:val="000000100000" w:firstRow="0" w:lastRow="0" w:firstColumn="0" w:lastColumn="0" w:oddVBand="0" w:evenVBand="0" w:oddHBand="1" w:evenHBand="0" w:firstRowFirstColumn="0" w:firstRowLastColumn="0" w:lastRowFirstColumn="0" w:lastRowLastColumn="0"/>
              <w:rPr>
                <w:sz w:val="24"/>
                <w:szCs w:val="24"/>
              </w:rPr>
            </w:pPr>
            <w:r w:rsidRPr="00710D7A">
              <w:rPr>
                <w:sz w:val="24"/>
                <w:szCs w:val="24"/>
              </w:rPr>
              <w:t xml:space="preserve">Expense all </w:t>
            </w:r>
            <w:r w:rsidR="00E305D9">
              <w:rPr>
                <w:sz w:val="24"/>
                <w:szCs w:val="24"/>
              </w:rPr>
              <w:t xml:space="preserve">individual </w:t>
            </w:r>
            <w:r w:rsidRPr="00710D7A">
              <w:rPr>
                <w:sz w:val="24"/>
                <w:szCs w:val="24"/>
              </w:rPr>
              <w:t>items</w:t>
            </w:r>
            <w:r w:rsidR="00E305D9">
              <w:rPr>
                <w:sz w:val="24"/>
                <w:szCs w:val="24"/>
              </w:rPr>
              <w:t xml:space="preserve"> under $2,500, regardless of quantity purchased at one time.</w:t>
            </w:r>
          </w:p>
        </w:tc>
      </w:tr>
      <w:tr w:rsidR="00D97570" w:rsidRPr="00655FDE" w14:paraId="6009C67A" w14:textId="77777777" w:rsidTr="00E4750C">
        <w:tc>
          <w:tcPr>
            <w:cnfStyle w:val="001000000000" w:firstRow="0" w:lastRow="0" w:firstColumn="1" w:lastColumn="0" w:oddVBand="0" w:evenVBand="0" w:oddHBand="0" w:evenHBand="0" w:firstRowFirstColumn="0" w:firstRowLastColumn="0" w:lastRowFirstColumn="0" w:lastRowLastColumn="0"/>
            <w:tcW w:w="7645" w:type="dxa"/>
          </w:tcPr>
          <w:p w14:paraId="3D079ECC" w14:textId="442A9560" w:rsidR="00D97570" w:rsidRDefault="00D97570" w:rsidP="00E4750C">
            <w:pPr>
              <w:autoSpaceDE w:val="0"/>
              <w:autoSpaceDN w:val="0"/>
              <w:adjustRightInd w:val="0"/>
              <w:rPr>
                <w:rFonts w:asciiTheme="minorHAnsi" w:hAnsiTheme="minorHAnsi" w:cs="Times New Roman"/>
                <w:b w:val="0"/>
                <w:sz w:val="24"/>
                <w:szCs w:val="24"/>
              </w:rPr>
            </w:pPr>
            <w:r>
              <w:rPr>
                <w:rFonts w:asciiTheme="minorHAnsi" w:hAnsiTheme="minorHAnsi" w:cs="Times New Roman"/>
                <w:sz w:val="24"/>
                <w:szCs w:val="24"/>
              </w:rPr>
              <w:t>DoDI</w:t>
            </w:r>
            <w:r w:rsidR="008E34B9">
              <w:rPr>
                <w:rFonts w:asciiTheme="minorHAnsi" w:hAnsiTheme="minorHAnsi" w:cs="Times New Roman"/>
                <w:sz w:val="24"/>
                <w:szCs w:val="24"/>
              </w:rPr>
              <w:t xml:space="preserve"> </w:t>
            </w:r>
            <w:r w:rsidRPr="00346AB3">
              <w:rPr>
                <w:rFonts w:asciiTheme="minorHAnsi" w:hAnsiTheme="minorHAnsi" w:cs="Times New Roman"/>
                <w:sz w:val="24"/>
                <w:szCs w:val="24"/>
              </w:rPr>
              <w:t>1015.15</w:t>
            </w:r>
            <w:r w:rsidRPr="00346AB3">
              <w:rPr>
                <w:rFonts w:asciiTheme="minorHAnsi" w:hAnsiTheme="minorHAnsi" w:cs="Times New Roman"/>
                <w:b w:val="0"/>
                <w:sz w:val="24"/>
                <w:szCs w:val="24"/>
              </w:rPr>
              <w:t xml:space="preserve">:   </w:t>
            </w:r>
            <w:r>
              <w:rPr>
                <w:rFonts w:asciiTheme="minorHAnsi" w:hAnsiTheme="minorHAnsi" w:cs="Times New Roman"/>
                <w:b w:val="0"/>
                <w:sz w:val="24"/>
                <w:szCs w:val="24"/>
              </w:rPr>
              <w:t>Silent on Treatment</w:t>
            </w:r>
            <w:r w:rsidR="00714AC4">
              <w:rPr>
                <w:rFonts w:asciiTheme="minorHAnsi" w:hAnsiTheme="minorHAnsi" w:cs="Times New Roman"/>
                <w:b w:val="0"/>
                <w:sz w:val="24"/>
                <w:szCs w:val="24"/>
              </w:rPr>
              <w:t>.  Does</w:t>
            </w:r>
            <w:r w:rsidR="007A6EA8">
              <w:rPr>
                <w:rFonts w:asciiTheme="minorHAnsi" w:hAnsiTheme="minorHAnsi" w:cs="Times New Roman"/>
                <w:b w:val="0"/>
                <w:sz w:val="24"/>
                <w:szCs w:val="24"/>
              </w:rPr>
              <w:t xml:space="preserve"> not provide definition or treatment for </w:t>
            </w:r>
            <w:r w:rsidR="00714AC4">
              <w:rPr>
                <w:rFonts w:asciiTheme="minorHAnsi" w:hAnsiTheme="minorHAnsi" w:cs="Times New Roman"/>
                <w:b w:val="0"/>
                <w:sz w:val="24"/>
                <w:szCs w:val="24"/>
              </w:rPr>
              <w:t xml:space="preserve">assets purchased in </w:t>
            </w:r>
            <w:r w:rsidR="0020389E">
              <w:rPr>
                <w:rFonts w:asciiTheme="minorHAnsi" w:hAnsiTheme="minorHAnsi" w:cs="Times New Roman"/>
                <w:b w:val="0"/>
                <w:sz w:val="24"/>
                <w:szCs w:val="24"/>
              </w:rPr>
              <w:t>quantity</w:t>
            </w:r>
            <w:r>
              <w:rPr>
                <w:rFonts w:asciiTheme="minorHAnsi" w:hAnsiTheme="minorHAnsi" w:cs="Times New Roman"/>
                <w:b w:val="0"/>
                <w:sz w:val="24"/>
                <w:szCs w:val="24"/>
              </w:rPr>
              <w:t>.</w:t>
            </w:r>
          </w:p>
          <w:p w14:paraId="6863DE4F" w14:textId="77777777" w:rsidR="00D97570" w:rsidRPr="00685921" w:rsidRDefault="00D97570" w:rsidP="00E4750C">
            <w:pPr>
              <w:autoSpaceDE w:val="0"/>
              <w:autoSpaceDN w:val="0"/>
              <w:adjustRightInd w:val="0"/>
              <w:rPr>
                <w:rFonts w:asciiTheme="minorHAnsi" w:hAnsiTheme="minorHAnsi" w:cs="Times New Roman"/>
                <w:b w:val="0"/>
                <w:sz w:val="24"/>
                <w:szCs w:val="24"/>
              </w:rPr>
            </w:pPr>
            <w:r w:rsidRPr="00346AB3">
              <w:rPr>
                <w:rFonts w:asciiTheme="minorHAnsi" w:hAnsiTheme="minorHAnsi" w:cs="Times New Roman"/>
                <w:b w:val="0"/>
                <w:sz w:val="24"/>
                <w:szCs w:val="24"/>
              </w:rPr>
              <w:t xml:space="preserve">6.4.2.5. </w:t>
            </w:r>
            <w:r w:rsidRPr="00346AB3">
              <w:rPr>
                <w:rFonts w:asciiTheme="minorHAnsi" w:hAnsiTheme="minorHAnsi" w:cs="Times New Roman"/>
                <w:b w:val="0"/>
                <w:sz w:val="24"/>
                <w:szCs w:val="24"/>
                <w:u w:val="single"/>
              </w:rPr>
              <w:t>Tangible Fixed Assets.</w:t>
            </w:r>
            <w:r w:rsidRPr="00346AB3">
              <w:rPr>
                <w:rFonts w:asciiTheme="minorHAnsi" w:hAnsiTheme="minorHAnsi" w:cs="Times New Roman"/>
                <w:b w:val="0"/>
                <w:sz w:val="24"/>
                <w:szCs w:val="24"/>
              </w:rPr>
              <w:t xml:space="preserve"> Tangible fixed assets purchased with NAFs, or donated or transferred to a NAFI, that have a useful life expectancy of more than 2 years and an acquisition cost of $2,500 or more, shall be capitalized in NAF accounting records.</w:t>
            </w:r>
          </w:p>
        </w:tc>
        <w:tc>
          <w:tcPr>
            <w:tcW w:w="1710" w:type="dxa"/>
            <w:gridSpan w:val="2"/>
          </w:tcPr>
          <w:p w14:paraId="5A54739C" w14:textId="77777777" w:rsidR="00D97570" w:rsidRPr="003D27B2" w:rsidRDefault="00D97570" w:rsidP="00E4750C">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710" w:type="dxa"/>
          </w:tcPr>
          <w:p w14:paraId="74E40BA0" w14:textId="77777777" w:rsidR="00D97570" w:rsidRPr="003D27B2" w:rsidRDefault="00D97570" w:rsidP="00E4750C">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N/A</w:t>
            </w:r>
          </w:p>
        </w:tc>
        <w:tc>
          <w:tcPr>
            <w:tcW w:w="1980" w:type="dxa"/>
          </w:tcPr>
          <w:p w14:paraId="6B9EDECD" w14:textId="77777777" w:rsidR="00D97570" w:rsidRDefault="00D97570" w:rsidP="00E4750C">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imes New Roman"/>
                <w:sz w:val="24"/>
                <w:szCs w:val="24"/>
              </w:rPr>
              <w:t>N/A</w:t>
            </w:r>
          </w:p>
        </w:tc>
        <w:tc>
          <w:tcPr>
            <w:tcW w:w="1625" w:type="dxa"/>
          </w:tcPr>
          <w:p w14:paraId="48D64B0B" w14:textId="77777777" w:rsidR="00D97570" w:rsidRDefault="00D97570" w:rsidP="00E4750C">
            <w:pPr>
              <w:cnfStyle w:val="000000000000" w:firstRow="0" w:lastRow="0" w:firstColumn="0" w:lastColumn="0" w:oddVBand="0" w:evenVBand="0" w:oddHBand="0" w:evenHBand="0" w:firstRowFirstColumn="0" w:firstRowLastColumn="0" w:lastRowFirstColumn="0" w:lastRowLastColumn="0"/>
            </w:pPr>
            <w:r>
              <w:rPr>
                <w:rFonts w:asciiTheme="minorHAnsi" w:hAnsiTheme="minorHAnsi" w:cs="Times New Roman"/>
                <w:sz w:val="24"/>
                <w:szCs w:val="24"/>
              </w:rPr>
              <w:t>N/A</w:t>
            </w:r>
          </w:p>
        </w:tc>
      </w:tr>
      <w:tr w:rsidR="001310A3" w:rsidRPr="00655FDE" w14:paraId="4E163673" w14:textId="77777777" w:rsidTr="00E47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6F1791BE" w14:textId="53CCEEEB" w:rsidR="001310A3" w:rsidRPr="008F1FA1" w:rsidRDefault="001310A3" w:rsidP="002629FA">
            <w:pPr>
              <w:rPr>
                <w:rFonts w:asciiTheme="minorHAnsi" w:hAnsiTheme="minorHAnsi" w:cs="Times New Roman"/>
                <w:b w:val="0"/>
                <w:sz w:val="24"/>
                <w:szCs w:val="24"/>
              </w:rPr>
            </w:pPr>
            <w:r w:rsidRPr="00346AB3">
              <w:rPr>
                <w:rFonts w:asciiTheme="minorHAnsi" w:hAnsiTheme="minorHAnsi" w:cs="Times New Roman"/>
                <w:sz w:val="24"/>
                <w:szCs w:val="24"/>
              </w:rPr>
              <w:t xml:space="preserve">FMR </w:t>
            </w:r>
            <w:r w:rsidR="002629FA">
              <w:rPr>
                <w:rFonts w:asciiTheme="minorHAnsi" w:hAnsiTheme="minorHAnsi" w:cs="Times New Roman"/>
                <w:sz w:val="24"/>
                <w:szCs w:val="24"/>
              </w:rPr>
              <w:t xml:space="preserve">Volume 13, </w:t>
            </w:r>
            <w:r w:rsidRPr="00346AB3">
              <w:rPr>
                <w:rFonts w:asciiTheme="minorHAnsi" w:hAnsiTheme="minorHAnsi" w:cs="Times New Roman"/>
                <w:sz w:val="24"/>
                <w:szCs w:val="24"/>
              </w:rPr>
              <w:t xml:space="preserve">Chapter </w:t>
            </w:r>
            <w:r w:rsidR="002629FA">
              <w:rPr>
                <w:rFonts w:asciiTheme="minorHAnsi" w:hAnsiTheme="minorHAnsi" w:cs="Times New Roman"/>
                <w:sz w:val="24"/>
                <w:szCs w:val="24"/>
              </w:rPr>
              <w:t>3. 030306. A.</w:t>
            </w:r>
            <w:r w:rsidR="008D3AEE">
              <w:rPr>
                <w:rFonts w:asciiTheme="minorHAnsi" w:hAnsiTheme="minorHAnsi" w:cs="Times New Roman"/>
                <w:sz w:val="24"/>
                <w:szCs w:val="24"/>
              </w:rPr>
              <w:t>1.a.</w:t>
            </w:r>
            <w:r w:rsidR="002629FA">
              <w:rPr>
                <w:rFonts w:asciiTheme="minorHAnsi" w:hAnsiTheme="minorHAnsi" w:cs="Times New Roman"/>
                <w:sz w:val="24"/>
                <w:szCs w:val="24"/>
              </w:rPr>
              <w:t xml:space="preserve"> Assets Purchased in Quantity:</w:t>
            </w:r>
            <w:r w:rsidRPr="00346AB3">
              <w:rPr>
                <w:rFonts w:asciiTheme="minorHAnsi" w:hAnsiTheme="minorHAnsi" w:cs="Times New Roman"/>
                <w:sz w:val="24"/>
                <w:szCs w:val="24"/>
              </w:rPr>
              <w:t xml:space="preserve">   </w:t>
            </w:r>
            <w:r w:rsidRPr="008F1FA1">
              <w:rPr>
                <w:b w:val="0"/>
                <w:sz w:val="24"/>
                <w:szCs w:val="24"/>
              </w:rPr>
              <w:t xml:space="preserve">Like items purchased in a quantity in excess of one must individually meet the capitalization threshold in accordance with the appropriate Military Service guidance. All other criteria for fixed assets </w:t>
            </w:r>
            <w:r w:rsidR="002629FA">
              <w:rPr>
                <w:b w:val="0"/>
                <w:sz w:val="24"/>
                <w:szCs w:val="24"/>
              </w:rPr>
              <w:t xml:space="preserve">listed in subparagraph 030306.A </w:t>
            </w:r>
            <w:r w:rsidRPr="008F1FA1">
              <w:rPr>
                <w:b w:val="0"/>
                <w:sz w:val="24"/>
                <w:szCs w:val="24"/>
              </w:rPr>
              <w:t>must be met.</w:t>
            </w:r>
          </w:p>
        </w:tc>
        <w:tc>
          <w:tcPr>
            <w:tcW w:w="1710" w:type="dxa"/>
            <w:gridSpan w:val="2"/>
          </w:tcPr>
          <w:p w14:paraId="763F1A89" w14:textId="3AE2BCBD" w:rsidR="001310A3" w:rsidRDefault="001310A3" w:rsidP="001310A3">
            <w:pPr>
              <w:cnfStyle w:val="000000100000" w:firstRow="0" w:lastRow="0" w:firstColumn="0" w:lastColumn="0" w:oddVBand="0" w:evenVBand="0" w:oddHBand="1" w:evenHBand="0" w:firstRowFirstColumn="0" w:firstRowLastColumn="0" w:lastRowFirstColumn="0" w:lastRowLastColumn="0"/>
            </w:pPr>
            <w:r w:rsidRPr="00D87733">
              <w:rPr>
                <w:rFonts w:asciiTheme="minorHAnsi" w:hAnsiTheme="minorHAnsi" w:cs="Times New Roman"/>
                <w:sz w:val="24"/>
                <w:szCs w:val="24"/>
              </w:rPr>
              <w:t>Follows Alternative Guidance</w:t>
            </w:r>
          </w:p>
        </w:tc>
        <w:tc>
          <w:tcPr>
            <w:tcW w:w="1710" w:type="dxa"/>
          </w:tcPr>
          <w:p w14:paraId="6DE9E4FD" w14:textId="79C7DFAB" w:rsidR="001310A3" w:rsidRDefault="001310A3" w:rsidP="001310A3">
            <w:pPr>
              <w:cnfStyle w:val="000000100000" w:firstRow="0" w:lastRow="0" w:firstColumn="0" w:lastColumn="0" w:oddVBand="0" w:evenVBand="0" w:oddHBand="1" w:evenHBand="0" w:firstRowFirstColumn="0" w:firstRowLastColumn="0" w:lastRowFirstColumn="0" w:lastRowLastColumn="0"/>
            </w:pPr>
            <w:r w:rsidRPr="00D87733">
              <w:rPr>
                <w:rFonts w:asciiTheme="minorHAnsi" w:hAnsiTheme="minorHAnsi" w:cs="Times New Roman"/>
                <w:sz w:val="24"/>
                <w:szCs w:val="24"/>
              </w:rPr>
              <w:t>Follows Alternative Guidance</w:t>
            </w:r>
          </w:p>
        </w:tc>
        <w:tc>
          <w:tcPr>
            <w:tcW w:w="1980" w:type="dxa"/>
          </w:tcPr>
          <w:p w14:paraId="4102BB6A" w14:textId="43B46A6A" w:rsidR="001310A3" w:rsidRDefault="001310A3" w:rsidP="001310A3">
            <w:pPr>
              <w:cnfStyle w:val="000000100000" w:firstRow="0" w:lastRow="0" w:firstColumn="0" w:lastColumn="0" w:oddVBand="0" w:evenVBand="0" w:oddHBand="1" w:evenHBand="0" w:firstRowFirstColumn="0" w:firstRowLastColumn="0" w:lastRowFirstColumn="0" w:lastRowLastColumn="0"/>
            </w:pPr>
            <w:r w:rsidRPr="00D87733">
              <w:rPr>
                <w:rFonts w:asciiTheme="minorHAnsi" w:hAnsiTheme="minorHAnsi" w:cs="Times New Roman"/>
                <w:sz w:val="24"/>
                <w:szCs w:val="24"/>
              </w:rPr>
              <w:t>Follows Alternative Guidance</w:t>
            </w:r>
          </w:p>
        </w:tc>
        <w:tc>
          <w:tcPr>
            <w:tcW w:w="1625" w:type="dxa"/>
          </w:tcPr>
          <w:p w14:paraId="20DCB4F1" w14:textId="5EF22972" w:rsidR="001310A3" w:rsidRDefault="001310A3" w:rsidP="001310A3">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imes New Roman"/>
                <w:sz w:val="24"/>
                <w:szCs w:val="24"/>
              </w:rPr>
              <w:t>Follows Current Guidance</w:t>
            </w:r>
          </w:p>
        </w:tc>
      </w:tr>
      <w:tr w:rsidR="00D97570" w:rsidRPr="00655FDE" w14:paraId="088A72A1" w14:textId="77777777" w:rsidTr="00E4750C">
        <w:trPr>
          <w:cantSplit/>
        </w:trPr>
        <w:tc>
          <w:tcPr>
            <w:cnfStyle w:val="001000000000" w:firstRow="0" w:lastRow="0" w:firstColumn="1" w:lastColumn="0" w:oddVBand="0" w:evenVBand="0" w:oddHBand="0" w:evenHBand="0" w:firstRowFirstColumn="0" w:firstRowLastColumn="0" w:lastRowFirstColumn="0" w:lastRowLastColumn="0"/>
            <w:tcW w:w="7645" w:type="dxa"/>
          </w:tcPr>
          <w:p w14:paraId="4533BCC2" w14:textId="77777777" w:rsidR="00D97570" w:rsidRPr="003D27B2" w:rsidRDefault="00D97570" w:rsidP="00E4750C">
            <w:pPr>
              <w:keepNext/>
              <w:keepLines/>
              <w:rPr>
                <w:rFonts w:asciiTheme="minorHAnsi" w:hAnsiTheme="minorHAnsi" w:cs="Times New Roman"/>
                <w:b w:val="0"/>
                <w:sz w:val="24"/>
                <w:szCs w:val="24"/>
              </w:rPr>
            </w:pPr>
            <w:r w:rsidRPr="00346AB3">
              <w:rPr>
                <w:rFonts w:asciiTheme="minorHAnsi" w:hAnsiTheme="minorHAnsi" w:cs="Times New Roman"/>
                <w:sz w:val="24"/>
                <w:szCs w:val="24"/>
              </w:rPr>
              <w:t xml:space="preserve">GAAP:  </w:t>
            </w:r>
            <w:r w:rsidRPr="00346AB3">
              <w:rPr>
                <w:rFonts w:asciiTheme="minorHAnsi" w:hAnsiTheme="minorHAnsi" w:cs="Times New Roman"/>
                <w:b w:val="0"/>
                <w:sz w:val="24"/>
                <w:szCs w:val="24"/>
              </w:rPr>
              <w:t xml:space="preserve">GAAP does not specify a capitalization threshold for grouped assets or assets purchased in quantity. The determination is left to the entity to </w:t>
            </w:r>
            <w:r w:rsidRPr="00346AB3">
              <w:rPr>
                <w:rFonts w:asciiTheme="minorHAnsi" w:hAnsiTheme="minorHAnsi" w:cs="Times New Roman"/>
                <w:b w:val="0"/>
                <w:sz w:val="24"/>
                <w:szCs w:val="24"/>
              </w:rPr>
              <w:lastRenderedPageBreak/>
              <w:t>determine, as the wide variance in business entities precluded developing a proper applicable standard.</w:t>
            </w:r>
          </w:p>
        </w:tc>
        <w:tc>
          <w:tcPr>
            <w:tcW w:w="1710" w:type="dxa"/>
            <w:gridSpan w:val="2"/>
          </w:tcPr>
          <w:p w14:paraId="6CDD364A" w14:textId="77777777" w:rsidR="00D97570" w:rsidRPr="003D27B2" w:rsidRDefault="00D97570" w:rsidP="00E4750C">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lastRenderedPageBreak/>
              <w:t>N/A</w:t>
            </w:r>
          </w:p>
        </w:tc>
        <w:tc>
          <w:tcPr>
            <w:tcW w:w="1710" w:type="dxa"/>
          </w:tcPr>
          <w:p w14:paraId="7D78B096" w14:textId="77777777" w:rsidR="00D97570" w:rsidRPr="003D27B2" w:rsidRDefault="00D97570" w:rsidP="00E4750C">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sidRPr="003D27B2">
              <w:rPr>
                <w:rFonts w:asciiTheme="minorHAnsi" w:hAnsiTheme="minorHAnsi" w:cs="Times New Roman"/>
                <w:sz w:val="24"/>
                <w:szCs w:val="24"/>
              </w:rPr>
              <w:t>N/A</w:t>
            </w:r>
          </w:p>
        </w:tc>
        <w:tc>
          <w:tcPr>
            <w:tcW w:w="1980" w:type="dxa"/>
          </w:tcPr>
          <w:p w14:paraId="1A1B6680" w14:textId="77777777" w:rsidR="00D97570" w:rsidRPr="003D27B2" w:rsidRDefault="00D97570" w:rsidP="00E4750C">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sidRPr="003D27B2">
              <w:rPr>
                <w:rFonts w:asciiTheme="minorHAnsi" w:hAnsiTheme="minorHAnsi" w:cs="Times New Roman"/>
                <w:sz w:val="24"/>
                <w:szCs w:val="24"/>
              </w:rPr>
              <w:t>N/A</w:t>
            </w:r>
          </w:p>
        </w:tc>
        <w:tc>
          <w:tcPr>
            <w:tcW w:w="1625" w:type="dxa"/>
          </w:tcPr>
          <w:p w14:paraId="283807A8" w14:textId="77777777" w:rsidR="00D97570" w:rsidRPr="003D27B2" w:rsidRDefault="00D97570" w:rsidP="00E4750C">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sidRPr="003D27B2">
              <w:rPr>
                <w:rFonts w:asciiTheme="minorHAnsi" w:hAnsiTheme="minorHAnsi" w:cs="Times New Roman"/>
                <w:sz w:val="24"/>
                <w:szCs w:val="24"/>
              </w:rPr>
              <w:t>N/A</w:t>
            </w:r>
          </w:p>
        </w:tc>
      </w:tr>
      <w:tr w:rsidR="001310A3" w:rsidRPr="00655FDE" w14:paraId="324948C4" w14:textId="77777777" w:rsidTr="00E47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tcPr>
          <w:p w14:paraId="68013B8E" w14:textId="6E9428F0" w:rsidR="001310A3" w:rsidRPr="00742980" w:rsidRDefault="001310A3" w:rsidP="001310A3">
            <w:pPr>
              <w:autoSpaceDE w:val="0"/>
              <w:autoSpaceDN w:val="0"/>
              <w:adjustRightInd w:val="0"/>
              <w:rPr>
                <w:rFonts w:asciiTheme="minorHAnsi" w:hAnsiTheme="minorHAnsi" w:cs="Times New Roman"/>
                <w:b w:val="0"/>
                <w:sz w:val="24"/>
                <w:szCs w:val="24"/>
              </w:rPr>
            </w:pPr>
            <w:r w:rsidRPr="00346AB3">
              <w:rPr>
                <w:rFonts w:asciiTheme="minorHAnsi" w:hAnsiTheme="minorHAnsi" w:cs="Times New Roman"/>
                <w:sz w:val="24"/>
                <w:szCs w:val="24"/>
              </w:rPr>
              <w:t>FASAB Handbook version 1</w:t>
            </w:r>
            <w:r w:rsidR="00D708EE">
              <w:rPr>
                <w:rFonts w:asciiTheme="minorHAnsi" w:hAnsiTheme="minorHAnsi" w:cs="Times New Roman"/>
                <w:sz w:val="24"/>
                <w:szCs w:val="24"/>
              </w:rPr>
              <w:t>6</w:t>
            </w:r>
            <w:r w:rsidRPr="00346AB3">
              <w:rPr>
                <w:rFonts w:asciiTheme="minorHAnsi" w:hAnsiTheme="minorHAnsi" w:cs="Times New Roman"/>
                <w:sz w:val="24"/>
                <w:szCs w:val="24"/>
              </w:rPr>
              <w:t xml:space="preserve">:  </w:t>
            </w:r>
            <w:r w:rsidRPr="00346AB3">
              <w:rPr>
                <w:rFonts w:asciiTheme="minorHAnsi" w:hAnsiTheme="minorHAnsi" w:cs="Times New Roman"/>
                <w:b w:val="0"/>
                <w:sz w:val="24"/>
                <w:szCs w:val="24"/>
              </w:rPr>
              <w:t>SFFAS 6 (13) The Board believes that capitalization thresholds should be established by Federal entities rather than centrally by the Board. Because Federal entities are diverse in size and in uses of PP&amp;E, entities must consider their own financial and operational conditions in establishing an appropriate capitalization threshold or thresholds. Once established, this threshold(s) should be consistently followed and disclosed in the financial reports.</w:t>
            </w:r>
          </w:p>
        </w:tc>
        <w:tc>
          <w:tcPr>
            <w:tcW w:w="1710" w:type="dxa"/>
            <w:gridSpan w:val="2"/>
          </w:tcPr>
          <w:p w14:paraId="1256A868" w14:textId="74150124" w:rsidR="001310A3" w:rsidRPr="003D27B2" w:rsidRDefault="001310A3" w:rsidP="001310A3">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sidRPr="00F36DA3">
              <w:rPr>
                <w:rFonts w:asciiTheme="minorHAnsi" w:hAnsiTheme="minorHAnsi" w:cs="Times New Roman"/>
                <w:sz w:val="24"/>
                <w:szCs w:val="24"/>
              </w:rPr>
              <w:t>Follows Alternative Guidance</w:t>
            </w:r>
          </w:p>
        </w:tc>
        <w:tc>
          <w:tcPr>
            <w:tcW w:w="1710" w:type="dxa"/>
          </w:tcPr>
          <w:p w14:paraId="21874DE3" w14:textId="10E53725" w:rsidR="001310A3" w:rsidRPr="003D27B2" w:rsidRDefault="001310A3" w:rsidP="001310A3">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sidRPr="00F36DA3">
              <w:rPr>
                <w:rFonts w:asciiTheme="minorHAnsi" w:hAnsiTheme="minorHAnsi" w:cs="Times New Roman"/>
                <w:sz w:val="24"/>
                <w:szCs w:val="24"/>
              </w:rPr>
              <w:t>Follows Alternative Guidance</w:t>
            </w:r>
          </w:p>
        </w:tc>
        <w:tc>
          <w:tcPr>
            <w:tcW w:w="1980" w:type="dxa"/>
          </w:tcPr>
          <w:p w14:paraId="5EC3C877" w14:textId="2E6C48F7" w:rsidR="001310A3" w:rsidRPr="003D27B2" w:rsidRDefault="001310A3" w:rsidP="001310A3">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sidRPr="00F36DA3">
              <w:rPr>
                <w:rFonts w:asciiTheme="minorHAnsi" w:hAnsiTheme="minorHAnsi" w:cs="Times New Roman"/>
                <w:sz w:val="24"/>
                <w:szCs w:val="24"/>
              </w:rPr>
              <w:t>Follows Alternative Guidance</w:t>
            </w:r>
          </w:p>
        </w:tc>
        <w:tc>
          <w:tcPr>
            <w:tcW w:w="1625" w:type="dxa"/>
          </w:tcPr>
          <w:p w14:paraId="17EE769E" w14:textId="74D98E32" w:rsidR="001310A3" w:rsidRPr="003D27B2" w:rsidRDefault="001310A3" w:rsidP="001310A3">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Follows Current Guidance</w:t>
            </w:r>
          </w:p>
        </w:tc>
      </w:tr>
      <w:tr w:rsidR="004F6804" w:rsidRPr="00655FDE" w14:paraId="39234082" w14:textId="77777777" w:rsidTr="00E4750C">
        <w:tc>
          <w:tcPr>
            <w:cnfStyle w:val="001000000000" w:firstRow="0" w:lastRow="0" w:firstColumn="1" w:lastColumn="0" w:oddVBand="0" w:evenVBand="0" w:oddHBand="0" w:evenHBand="0" w:firstRowFirstColumn="0" w:firstRowLastColumn="0" w:lastRowFirstColumn="0" w:lastRowLastColumn="0"/>
            <w:tcW w:w="7645" w:type="dxa"/>
          </w:tcPr>
          <w:p w14:paraId="407957FA" w14:textId="608776C2" w:rsidR="004F6804" w:rsidRPr="003D27B2" w:rsidRDefault="004F6804" w:rsidP="003B15DD">
            <w:pPr>
              <w:rPr>
                <w:rFonts w:asciiTheme="minorHAnsi" w:hAnsiTheme="minorHAnsi" w:cs="Times New Roman"/>
                <w:sz w:val="24"/>
                <w:szCs w:val="24"/>
              </w:rPr>
            </w:pPr>
            <w:r w:rsidRPr="003D27B2">
              <w:rPr>
                <w:rFonts w:asciiTheme="minorHAnsi" w:hAnsiTheme="minorHAnsi" w:cs="Times New Roman"/>
                <w:sz w:val="24"/>
                <w:szCs w:val="24"/>
              </w:rPr>
              <w:t xml:space="preserve">Industry Practice:  </w:t>
            </w:r>
            <w:r w:rsidRPr="003D27B2">
              <w:rPr>
                <w:rFonts w:asciiTheme="minorHAnsi" w:hAnsiTheme="minorHAnsi" w:cs="Times New Roman"/>
                <w:b w:val="0"/>
                <w:sz w:val="24"/>
                <w:szCs w:val="24"/>
              </w:rPr>
              <w:t xml:space="preserve">Wide variance between similar companies within the same industry such as </w:t>
            </w:r>
            <w:r>
              <w:rPr>
                <w:rFonts w:asciiTheme="minorHAnsi" w:hAnsiTheme="minorHAnsi" w:cs="Times New Roman"/>
                <w:b w:val="0"/>
                <w:sz w:val="24"/>
                <w:szCs w:val="24"/>
              </w:rPr>
              <w:t>lodging</w:t>
            </w:r>
            <w:r w:rsidRPr="003D27B2">
              <w:rPr>
                <w:rFonts w:asciiTheme="minorHAnsi" w:hAnsiTheme="minorHAnsi" w:cs="Times New Roman"/>
                <w:b w:val="0"/>
                <w:sz w:val="24"/>
                <w:szCs w:val="24"/>
              </w:rPr>
              <w:t xml:space="preserve"> or resort </w:t>
            </w:r>
            <w:r w:rsidRPr="00402D78">
              <w:rPr>
                <w:rFonts w:asciiTheme="minorHAnsi" w:hAnsiTheme="minorHAnsi" w:cs="Times New Roman"/>
                <w:b w:val="0"/>
                <w:sz w:val="24"/>
                <w:szCs w:val="24"/>
              </w:rPr>
              <w:t>industries. The lodging</w:t>
            </w:r>
            <w:r>
              <w:rPr>
                <w:rFonts w:asciiTheme="minorHAnsi" w:hAnsiTheme="minorHAnsi" w:cs="Times New Roman"/>
                <w:b w:val="0"/>
                <w:sz w:val="24"/>
                <w:szCs w:val="24"/>
              </w:rPr>
              <w:t xml:space="preserve"> and resort industry use</w:t>
            </w:r>
            <w:r w:rsidR="003B15DD">
              <w:rPr>
                <w:rFonts w:asciiTheme="minorHAnsi" w:hAnsiTheme="minorHAnsi" w:cs="Times New Roman"/>
                <w:b w:val="0"/>
                <w:sz w:val="24"/>
                <w:szCs w:val="24"/>
              </w:rPr>
              <w:t>s</w:t>
            </w:r>
            <w:r>
              <w:rPr>
                <w:rFonts w:asciiTheme="minorHAnsi" w:hAnsiTheme="minorHAnsi" w:cs="Times New Roman"/>
                <w:b w:val="0"/>
                <w:sz w:val="24"/>
                <w:szCs w:val="24"/>
              </w:rPr>
              <w:t xml:space="preserve"> an individual acquisition threshold </w:t>
            </w:r>
            <w:r w:rsidR="003B15DD">
              <w:rPr>
                <w:rFonts w:asciiTheme="minorHAnsi" w:hAnsiTheme="minorHAnsi" w:cs="Times New Roman"/>
                <w:b w:val="0"/>
                <w:sz w:val="24"/>
                <w:szCs w:val="24"/>
              </w:rPr>
              <w:t xml:space="preserve">ranging </w:t>
            </w:r>
            <w:r>
              <w:rPr>
                <w:rFonts w:asciiTheme="minorHAnsi" w:hAnsiTheme="minorHAnsi" w:cs="Times New Roman"/>
                <w:b w:val="0"/>
                <w:sz w:val="24"/>
                <w:szCs w:val="24"/>
              </w:rPr>
              <w:t>between $1,000 &amp; $5,000 and uses the whole room concept.</w:t>
            </w:r>
          </w:p>
        </w:tc>
        <w:tc>
          <w:tcPr>
            <w:tcW w:w="1710" w:type="dxa"/>
            <w:gridSpan w:val="2"/>
          </w:tcPr>
          <w:p w14:paraId="0A30E452" w14:textId="47E3D7BB" w:rsidR="004F6804" w:rsidRPr="003D27B2" w:rsidRDefault="004F6804" w:rsidP="004F6804">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sidRPr="00472D66">
              <w:rPr>
                <w:rFonts w:asciiTheme="minorHAnsi" w:hAnsiTheme="minorHAnsi" w:cs="Times New Roman"/>
                <w:sz w:val="24"/>
                <w:szCs w:val="24"/>
              </w:rPr>
              <w:t>Follows Current Guidance</w:t>
            </w:r>
          </w:p>
        </w:tc>
        <w:tc>
          <w:tcPr>
            <w:tcW w:w="1710" w:type="dxa"/>
          </w:tcPr>
          <w:p w14:paraId="10B3D0BE" w14:textId="0AD7F6F4" w:rsidR="004F6804" w:rsidRPr="003D27B2" w:rsidRDefault="004F6804" w:rsidP="004F6804">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sidRPr="00472D66">
              <w:rPr>
                <w:rFonts w:asciiTheme="minorHAnsi" w:hAnsiTheme="minorHAnsi" w:cs="Times New Roman"/>
                <w:sz w:val="24"/>
                <w:szCs w:val="24"/>
              </w:rPr>
              <w:t>Follows Current Guidance</w:t>
            </w:r>
          </w:p>
        </w:tc>
        <w:tc>
          <w:tcPr>
            <w:tcW w:w="1980" w:type="dxa"/>
          </w:tcPr>
          <w:p w14:paraId="5D5BD047" w14:textId="1A29B633" w:rsidR="004F6804" w:rsidRPr="003D27B2" w:rsidRDefault="004F6804" w:rsidP="004F6804">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sidRPr="00472D66">
              <w:rPr>
                <w:rFonts w:asciiTheme="minorHAnsi" w:hAnsiTheme="minorHAnsi" w:cs="Times New Roman"/>
                <w:sz w:val="24"/>
                <w:szCs w:val="24"/>
              </w:rPr>
              <w:t>Follows Current Guidance</w:t>
            </w:r>
          </w:p>
        </w:tc>
        <w:tc>
          <w:tcPr>
            <w:tcW w:w="1625" w:type="dxa"/>
          </w:tcPr>
          <w:p w14:paraId="26522A08" w14:textId="4D3F87E9" w:rsidR="004F6804" w:rsidRPr="003D27B2" w:rsidRDefault="004F6804" w:rsidP="004F6804">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sz w:val="24"/>
                <w:szCs w:val="24"/>
              </w:rPr>
            </w:pPr>
            <w:r w:rsidRPr="00472D66">
              <w:rPr>
                <w:rFonts w:asciiTheme="minorHAnsi" w:hAnsiTheme="minorHAnsi" w:cs="Times New Roman"/>
                <w:sz w:val="24"/>
                <w:szCs w:val="24"/>
              </w:rPr>
              <w:t>Follows Current Guidance</w:t>
            </w:r>
          </w:p>
        </w:tc>
      </w:tr>
    </w:tbl>
    <w:p w14:paraId="36762ACD" w14:textId="77777777" w:rsidR="0070738E" w:rsidRPr="0070738E" w:rsidRDefault="0070738E" w:rsidP="0070738E">
      <w:pPr>
        <w:pStyle w:val="BodyText"/>
      </w:pPr>
    </w:p>
    <w:p w14:paraId="1F717DB8" w14:textId="4A0D8A6F" w:rsidR="004A2852" w:rsidRDefault="0084460E" w:rsidP="004A2852">
      <w:pPr>
        <w:pStyle w:val="Heading1"/>
        <w:tabs>
          <w:tab w:val="left" w:pos="6675"/>
        </w:tabs>
        <w:ind w:left="-2160" w:firstLine="180"/>
        <w:rPr>
          <w:rFonts w:ascii="Garamond" w:hAnsi="Garamond"/>
          <w:bCs w:val="0"/>
          <w:color w:val="auto"/>
          <w:kern w:val="0"/>
          <w:sz w:val="24"/>
          <w:szCs w:val="20"/>
        </w:rPr>
      </w:pPr>
      <w:r>
        <w:rPr>
          <w:sz w:val="24"/>
        </w:rPr>
        <w:t>Discussion</w:t>
      </w:r>
      <w:r w:rsidR="004A2852">
        <w:rPr>
          <w:sz w:val="24"/>
        </w:rPr>
        <w:t xml:space="preserve"> </w:t>
      </w:r>
      <w:r w:rsidR="004A2852" w:rsidRPr="007B3038">
        <w:rPr>
          <w:rFonts w:ascii="Garamond" w:hAnsi="Garamond"/>
          <w:bCs w:val="0"/>
          <w:color w:val="auto"/>
          <w:kern w:val="0"/>
          <w:sz w:val="24"/>
          <w:szCs w:val="20"/>
        </w:rPr>
        <w:t xml:space="preserve"> </w:t>
      </w:r>
    </w:p>
    <w:p w14:paraId="61EA18FE" w14:textId="2D32AFA4" w:rsidR="000928D9" w:rsidRPr="007B3038" w:rsidRDefault="000928D9" w:rsidP="000928D9">
      <w:pPr>
        <w:ind w:left="-1260"/>
        <w:rPr>
          <w:sz w:val="24"/>
        </w:rPr>
      </w:pPr>
      <w:r>
        <w:rPr>
          <w:sz w:val="24"/>
        </w:rPr>
        <w:t xml:space="preserve">All </w:t>
      </w:r>
      <w:r w:rsidR="006E03BB">
        <w:rPr>
          <w:sz w:val="24"/>
        </w:rPr>
        <w:t xml:space="preserve">Services are currently using a </w:t>
      </w:r>
      <w:r w:rsidR="008E34B9">
        <w:rPr>
          <w:sz w:val="24"/>
        </w:rPr>
        <w:t>two-year</w:t>
      </w:r>
      <w:r>
        <w:rPr>
          <w:sz w:val="24"/>
        </w:rPr>
        <w:t xml:space="preserve"> life expectancy but different acquisition costs as noted in the table above.  </w:t>
      </w:r>
      <w:r w:rsidR="00EE1A1D">
        <w:rPr>
          <w:sz w:val="24"/>
        </w:rPr>
        <w:t>It is recommended that a</w:t>
      </w:r>
      <w:r>
        <w:rPr>
          <w:sz w:val="24"/>
        </w:rPr>
        <w:t>ll Services us</w:t>
      </w:r>
      <w:r w:rsidR="00EE1A1D">
        <w:rPr>
          <w:sz w:val="24"/>
        </w:rPr>
        <w:t>e</w:t>
      </w:r>
      <w:r>
        <w:rPr>
          <w:sz w:val="24"/>
        </w:rPr>
        <w:t xml:space="preserve"> the same threshold value and useful life for assets to be capitalized.</w:t>
      </w:r>
      <w:r w:rsidR="00EE1A1D">
        <w:rPr>
          <w:sz w:val="24"/>
        </w:rPr>
        <w:t xml:space="preserve"> However, a stricter threshold is acceptable.</w:t>
      </w:r>
      <w:r>
        <w:rPr>
          <w:sz w:val="24"/>
        </w:rPr>
        <w:t xml:space="preserve">  </w:t>
      </w:r>
    </w:p>
    <w:p w14:paraId="3DF631B5" w14:textId="77777777" w:rsidR="000928D9" w:rsidRDefault="000928D9" w:rsidP="000928D9">
      <w:pPr>
        <w:pStyle w:val="Heading1"/>
        <w:tabs>
          <w:tab w:val="left" w:pos="6675"/>
        </w:tabs>
        <w:ind w:left="-1260"/>
        <w:rPr>
          <w:rFonts w:asciiTheme="minorHAnsi" w:hAnsiTheme="minorHAnsi"/>
          <w:bCs w:val="0"/>
          <w:color w:val="auto"/>
          <w:kern w:val="0"/>
          <w:sz w:val="24"/>
          <w:szCs w:val="20"/>
        </w:rPr>
      </w:pPr>
    </w:p>
    <w:p w14:paraId="50918672" w14:textId="079BD5BF" w:rsidR="00AF0197" w:rsidRDefault="00B17D65" w:rsidP="00AF0197">
      <w:pPr>
        <w:pStyle w:val="Heading1"/>
        <w:tabs>
          <w:tab w:val="left" w:pos="6675"/>
        </w:tabs>
        <w:ind w:left="-1260"/>
        <w:rPr>
          <w:rFonts w:asciiTheme="minorHAnsi" w:hAnsiTheme="minorHAnsi"/>
          <w:bCs w:val="0"/>
          <w:color w:val="auto"/>
          <w:kern w:val="0"/>
          <w:sz w:val="24"/>
          <w:szCs w:val="20"/>
        </w:rPr>
      </w:pPr>
      <w:r>
        <w:rPr>
          <w:rFonts w:asciiTheme="minorHAnsi" w:hAnsiTheme="minorHAnsi"/>
          <w:bCs w:val="0"/>
          <w:color w:val="auto"/>
          <w:kern w:val="0"/>
          <w:sz w:val="24"/>
          <w:szCs w:val="20"/>
        </w:rPr>
        <w:t>Clarification is needed</w:t>
      </w:r>
      <w:r w:rsidR="00AF6D8B">
        <w:rPr>
          <w:rFonts w:asciiTheme="minorHAnsi" w:hAnsiTheme="minorHAnsi"/>
          <w:bCs w:val="0"/>
          <w:color w:val="auto"/>
          <w:kern w:val="0"/>
          <w:sz w:val="24"/>
          <w:szCs w:val="20"/>
        </w:rPr>
        <w:t xml:space="preserve"> among regulations that allows </w:t>
      </w:r>
      <w:r w:rsidR="000928D9" w:rsidRPr="000928D9">
        <w:rPr>
          <w:rFonts w:asciiTheme="minorHAnsi" w:hAnsiTheme="minorHAnsi"/>
          <w:bCs w:val="0"/>
          <w:color w:val="auto"/>
          <w:kern w:val="0"/>
          <w:sz w:val="24"/>
          <w:szCs w:val="20"/>
        </w:rPr>
        <w:t xml:space="preserve">for items below </w:t>
      </w:r>
      <w:r w:rsidR="00AF6D8B">
        <w:rPr>
          <w:rFonts w:asciiTheme="minorHAnsi" w:hAnsiTheme="minorHAnsi"/>
          <w:bCs w:val="0"/>
          <w:color w:val="auto"/>
          <w:kern w:val="0"/>
          <w:sz w:val="24"/>
          <w:szCs w:val="20"/>
        </w:rPr>
        <w:t xml:space="preserve">the </w:t>
      </w:r>
      <w:r w:rsidR="000928D9" w:rsidRPr="000928D9">
        <w:rPr>
          <w:rFonts w:asciiTheme="minorHAnsi" w:hAnsiTheme="minorHAnsi"/>
          <w:bCs w:val="0"/>
          <w:color w:val="auto"/>
          <w:kern w:val="0"/>
          <w:sz w:val="24"/>
          <w:szCs w:val="20"/>
        </w:rPr>
        <w:t xml:space="preserve">individual acquisition threshold </w:t>
      </w:r>
      <w:r w:rsidR="000928D9">
        <w:rPr>
          <w:rFonts w:asciiTheme="minorHAnsi" w:hAnsiTheme="minorHAnsi"/>
          <w:bCs w:val="0"/>
          <w:color w:val="auto"/>
          <w:kern w:val="0"/>
          <w:sz w:val="24"/>
          <w:szCs w:val="20"/>
        </w:rPr>
        <w:t xml:space="preserve">($2,500) </w:t>
      </w:r>
      <w:r w:rsidR="000928D9" w:rsidRPr="000928D9">
        <w:rPr>
          <w:rFonts w:asciiTheme="minorHAnsi" w:hAnsiTheme="minorHAnsi"/>
          <w:bCs w:val="0"/>
          <w:color w:val="auto"/>
          <w:kern w:val="0"/>
          <w:sz w:val="24"/>
          <w:szCs w:val="20"/>
        </w:rPr>
        <w:t>to be capitalized when purchased in bulk</w:t>
      </w:r>
      <w:r w:rsidR="00AF6D8B">
        <w:rPr>
          <w:rFonts w:asciiTheme="minorHAnsi" w:hAnsiTheme="minorHAnsi"/>
          <w:bCs w:val="0"/>
          <w:color w:val="auto"/>
          <w:kern w:val="0"/>
          <w:sz w:val="24"/>
          <w:szCs w:val="20"/>
        </w:rPr>
        <w:t xml:space="preserve">.  This </w:t>
      </w:r>
      <w:r w:rsidR="000928D9">
        <w:rPr>
          <w:rFonts w:asciiTheme="minorHAnsi" w:hAnsiTheme="minorHAnsi"/>
          <w:bCs w:val="0"/>
          <w:color w:val="auto"/>
          <w:kern w:val="0"/>
          <w:sz w:val="24"/>
          <w:szCs w:val="20"/>
        </w:rPr>
        <w:t xml:space="preserve">will </w:t>
      </w:r>
      <w:r w:rsidR="000928D9" w:rsidRPr="000928D9">
        <w:rPr>
          <w:rFonts w:asciiTheme="minorHAnsi" w:hAnsiTheme="minorHAnsi"/>
          <w:bCs w:val="0"/>
          <w:color w:val="auto"/>
          <w:kern w:val="0"/>
          <w:sz w:val="24"/>
          <w:szCs w:val="20"/>
        </w:rPr>
        <w:t>allow</w:t>
      </w:r>
      <w:r w:rsidR="000928D9">
        <w:rPr>
          <w:rFonts w:asciiTheme="minorHAnsi" w:hAnsiTheme="minorHAnsi"/>
          <w:bCs w:val="0"/>
          <w:color w:val="auto"/>
          <w:kern w:val="0"/>
          <w:sz w:val="24"/>
          <w:szCs w:val="20"/>
        </w:rPr>
        <w:t xml:space="preserve"> the</w:t>
      </w:r>
      <w:r w:rsidR="000928D9" w:rsidRPr="000928D9">
        <w:rPr>
          <w:rFonts w:asciiTheme="minorHAnsi" w:hAnsiTheme="minorHAnsi"/>
          <w:bCs w:val="0"/>
          <w:color w:val="auto"/>
          <w:kern w:val="0"/>
          <w:sz w:val="24"/>
          <w:szCs w:val="20"/>
        </w:rPr>
        <w:t xml:space="preserve"> Services to capitalize purchase</w:t>
      </w:r>
      <w:r w:rsidR="000928D9">
        <w:rPr>
          <w:rFonts w:asciiTheme="minorHAnsi" w:hAnsiTheme="minorHAnsi"/>
          <w:bCs w:val="0"/>
          <w:color w:val="auto"/>
          <w:kern w:val="0"/>
          <w:sz w:val="24"/>
          <w:szCs w:val="20"/>
        </w:rPr>
        <w:t>s</w:t>
      </w:r>
      <w:r w:rsidR="000928D9" w:rsidRPr="000928D9">
        <w:rPr>
          <w:rFonts w:asciiTheme="minorHAnsi" w:hAnsiTheme="minorHAnsi"/>
          <w:bCs w:val="0"/>
          <w:color w:val="auto"/>
          <w:kern w:val="0"/>
          <w:sz w:val="24"/>
          <w:szCs w:val="20"/>
        </w:rPr>
        <w:t xml:space="preserve"> and depreciate </w:t>
      </w:r>
      <w:r w:rsidR="000928D9">
        <w:rPr>
          <w:rFonts w:asciiTheme="minorHAnsi" w:hAnsiTheme="minorHAnsi"/>
          <w:bCs w:val="0"/>
          <w:color w:val="auto"/>
          <w:kern w:val="0"/>
          <w:sz w:val="24"/>
          <w:szCs w:val="20"/>
        </w:rPr>
        <w:t xml:space="preserve">the </w:t>
      </w:r>
      <w:r w:rsidR="000928D9" w:rsidRPr="000928D9">
        <w:rPr>
          <w:rFonts w:asciiTheme="minorHAnsi" w:hAnsiTheme="minorHAnsi"/>
          <w:bCs w:val="0"/>
          <w:color w:val="auto"/>
          <w:kern w:val="0"/>
          <w:sz w:val="24"/>
          <w:szCs w:val="20"/>
        </w:rPr>
        <w:t>expense over</w:t>
      </w:r>
      <w:r w:rsidR="000928D9">
        <w:rPr>
          <w:rFonts w:asciiTheme="minorHAnsi" w:hAnsiTheme="minorHAnsi"/>
          <w:bCs w:val="0"/>
          <w:color w:val="auto"/>
          <w:kern w:val="0"/>
          <w:sz w:val="24"/>
          <w:szCs w:val="20"/>
        </w:rPr>
        <w:t xml:space="preserve"> the</w:t>
      </w:r>
      <w:r w:rsidR="000928D9" w:rsidRPr="000928D9">
        <w:rPr>
          <w:rFonts w:asciiTheme="minorHAnsi" w:hAnsiTheme="minorHAnsi"/>
          <w:bCs w:val="0"/>
          <w:color w:val="auto"/>
          <w:kern w:val="0"/>
          <w:sz w:val="24"/>
          <w:szCs w:val="20"/>
        </w:rPr>
        <w:t xml:space="preserve"> useful life of </w:t>
      </w:r>
      <w:r w:rsidR="000928D9">
        <w:rPr>
          <w:rFonts w:asciiTheme="minorHAnsi" w:hAnsiTheme="minorHAnsi"/>
          <w:bCs w:val="0"/>
          <w:color w:val="auto"/>
          <w:kern w:val="0"/>
          <w:sz w:val="24"/>
          <w:szCs w:val="20"/>
        </w:rPr>
        <w:t>the items</w:t>
      </w:r>
      <w:r w:rsidR="000928D9" w:rsidRPr="000928D9">
        <w:rPr>
          <w:rFonts w:asciiTheme="minorHAnsi" w:hAnsiTheme="minorHAnsi"/>
          <w:bCs w:val="0"/>
          <w:color w:val="auto"/>
          <w:kern w:val="0"/>
          <w:sz w:val="24"/>
          <w:szCs w:val="20"/>
        </w:rPr>
        <w:t>.  Not being able to gradually depreciate these items over their useful life can arti</w:t>
      </w:r>
      <w:r w:rsidR="000928D9">
        <w:rPr>
          <w:rFonts w:asciiTheme="minorHAnsi" w:hAnsiTheme="minorHAnsi"/>
          <w:bCs w:val="0"/>
          <w:color w:val="auto"/>
          <w:kern w:val="0"/>
          <w:sz w:val="24"/>
          <w:szCs w:val="20"/>
        </w:rPr>
        <w:t xml:space="preserve">ficially and </w:t>
      </w:r>
      <w:r w:rsidR="000928D9" w:rsidRPr="000928D9">
        <w:rPr>
          <w:rFonts w:asciiTheme="minorHAnsi" w:hAnsiTheme="minorHAnsi"/>
          <w:bCs w:val="0"/>
          <w:color w:val="auto"/>
          <w:kern w:val="0"/>
          <w:sz w:val="24"/>
          <w:szCs w:val="20"/>
        </w:rPr>
        <w:t>negatively impact the financials statements of the period in which the purchases are made</w:t>
      </w:r>
      <w:r w:rsidR="000928D9">
        <w:rPr>
          <w:rFonts w:asciiTheme="minorHAnsi" w:hAnsiTheme="minorHAnsi"/>
          <w:bCs w:val="0"/>
          <w:color w:val="auto"/>
          <w:kern w:val="0"/>
          <w:sz w:val="24"/>
          <w:szCs w:val="20"/>
        </w:rPr>
        <w:t>.</w:t>
      </w:r>
      <w:r w:rsidR="0018752C">
        <w:rPr>
          <w:rFonts w:asciiTheme="minorHAnsi" w:hAnsiTheme="minorHAnsi"/>
          <w:bCs w:val="0"/>
          <w:color w:val="auto"/>
          <w:kern w:val="0"/>
          <w:sz w:val="24"/>
          <w:szCs w:val="20"/>
        </w:rPr>
        <w:t xml:space="preserve"> Lodging and entertainment industry practice is to use discretion when deciding whether to capitalize or expense items purchased in quantity. </w:t>
      </w:r>
      <w:r>
        <w:rPr>
          <w:rFonts w:asciiTheme="minorHAnsi" w:hAnsiTheme="minorHAnsi"/>
          <w:bCs w:val="0"/>
          <w:color w:val="auto"/>
          <w:kern w:val="0"/>
          <w:sz w:val="24"/>
          <w:szCs w:val="20"/>
        </w:rPr>
        <w:t>Smaller value</w:t>
      </w:r>
      <w:r w:rsidR="0018752C">
        <w:rPr>
          <w:rFonts w:asciiTheme="minorHAnsi" w:hAnsiTheme="minorHAnsi"/>
          <w:bCs w:val="0"/>
          <w:color w:val="auto"/>
          <w:kern w:val="0"/>
          <w:sz w:val="24"/>
          <w:szCs w:val="20"/>
        </w:rPr>
        <w:t xml:space="preserve"> assets, like uniforms and china, </w:t>
      </w:r>
      <w:r>
        <w:rPr>
          <w:rFonts w:asciiTheme="minorHAnsi" w:hAnsiTheme="minorHAnsi"/>
          <w:bCs w:val="0"/>
          <w:color w:val="auto"/>
          <w:kern w:val="0"/>
          <w:sz w:val="24"/>
          <w:szCs w:val="20"/>
        </w:rPr>
        <w:t>tend to be</w:t>
      </w:r>
      <w:r w:rsidR="0018752C">
        <w:rPr>
          <w:rFonts w:asciiTheme="minorHAnsi" w:hAnsiTheme="minorHAnsi"/>
          <w:bCs w:val="0"/>
          <w:color w:val="auto"/>
          <w:kern w:val="0"/>
          <w:sz w:val="24"/>
          <w:szCs w:val="20"/>
        </w:rPr>
        <w:t xml:space="preserve"> capitalized </w:t>
      </w:r>
      <w:r>
        <w:rPr>
          <w:rFonts w:asciiTheme="minorHAnsi" w:hAnsiTheme="minorHAnsi"/>
          <w:bCs w:val="0"/>
          <w:color w:val="auto"/>
          <w:kern w:val="0"/>
          <w:sz w:val="24"/>
          <w:szCs w:val="20"/>
        </w:rPr>
        <w:t>and</w:t>
      </w:r>
      <w:r w:rsidR="0018752C">
        <w:rPr>
          <w:rFonts w:asciiTheme="minorHAnsi" w:hAnsiTheme="minorHAnsi"/>
          <w:bCs w:val="0"/>
          <w:color w:val="auto"/>
          <w:kern w:val="0"/>
          <w:sz w:val="24"/>
          <w:szCs w:val="20"/>
        </w:rPr>
        <w:t xml:space="preserve"> expensed over a </w:t>
      </w:r>
      <w:r w:rsidR="008E34B9">
        <w:rPr>
          <w:rFonts w:asciiTheme="minorHAnsi" w:hAnsiTheme="minorHAnsi"/>
          <w:bCs w:val="0"/>
          <w:color w:val="auto"/>
          <w:kern w:val="0"/>
          <w:sz w:val="24"/>
          <w:szCs w:val="20"/>
        </w:rPr>
        <w:t>two-year</w:t>
      </w:r>
      <w:r w:rsidR="0018752C">
        <w:rPr>
          <w:rFonts w:asciiTheme="minorHAnsi" w:hAnsiTheme="minorHAnsi"/>
          <w:bCs w:val="0"/>
          <w:color w:val="auto"/>
          <w:kern w:val="0"/>
          <w:sz w:val="24"/>
          <w:szCs w:val="20"/>
        </w:rPr>
        <w:t xml:space="preserve"> period.</w:t>
      </w:r>
    </w:p>
    <w:p w14:paraId="2CCDA06E" w14:textId="77777777" w:rsidR="00AF0197" w:rsidRPr="00AF0197" w:rsidRDefault="00AF0197" w:rsidP="00AF0197">
      <w:pPr>
        <w:pStyle w:val="BodyText"/>
        <w:spacing w:after="0"/>
      </w:pPr>
    </w:p>
    <w:p w14:paraId="11D76157" w14:textId="7F423811" w:rsidR="00AF0197" w:rsidRDefault="00AF0197" w:rsidP="00AF0197">
      <w:pPr>
        <w:pStyle w:val="Heading1"/>
        <w:tabs>
          <w:tab w:val="left" w:pos="6675"/>
        </w:tabs>
        <w:ind w:left="-1260"/>
        <w:rPr>
          <w:rFonts w:asciiTheme="minorHAnsi" w:hAnsiTheme="minorHAnsi"/>
          <w:bCs w:val="0"/>
          <w:color w:val="auto"/>
          <w:kern w:val="0"/>
          <w:sz w:val="24"/>
          <w:szCs w:val="20"/>
        </w:rPr>
      </w:pPr>
      <w:r>
        <w:rPr>
          <w:rFonts w:asciiTheme="minorHAnsi" w:hAnsiTheme="minorHAnsi"/>
          <w:bCs w:val="0"/>
          <w:color w:val="auto"/>
          <w:kern w:val="0"/>
          <w:sz w:val="24"/>
          <w:szCs w:val="20"/>
        </w:rPr>
        <w:t>The lodging and entertainment industry uses the whole room capitalization concept. For example, when hotel rooms are furnished, all items</w:t>
      </w:r>
      <w:r w:rsidR="00C26BF0">
        <w:rPr>
          <w:rFonts w:asciiTheme="minorHAnsi" w:hAnsiTheme="minorHAnsi"/>
          <w:bCs w:val="0"/>
          <w:color w:val="auto"/>
          <w:kern w:val="0"/>
          <w:sz w:val="24"/>
          <w:szCs w:val="20"/>
        </w:rPr>
        <w:t xml:space="preserve"> for all rooms</w:t>
      </w:r>
      <w:r>
        <w:rPr>
          <w:rFonts w:asciiTheme="minorHAnsi" w:hAnsiTheme="minorHAnsi"/>
          <w:bCs w:val="0"/>
          <w:color w:val="auto"/>
          <w:kern w:val="0"/>
          <w:sz w:val="24"/>
          <w:szCs w:val="20"/>
        </w:rPr>
        <w:t xml:space="preserve"> are purchased at one time and are all capitalized </w:t>
      </w:r>
      <w:r w:rsidR="00C26BF0">
        <w:rPr>
          <w:rFonts w:asciiTheme="minorHAnsi" w:hAnsiTheme="minorHAnsi"/>
          <w:bCs w:val="0"/>
          <w:color w:val="auto"/>
          <w:kern w:val="0"/>
          <w:sz w:val="24"/>
          <w:szCs w:val="20"/>
        </w:rPr>
        <w:t xml:space="preserve">together </w:t>
      </w:r>
      <w:r>
        <w:rPr>
          <w:rFonts w:asciiTheme="minorHAnsi" w:hAnsiTheme="minorHAnsi"/>
          <w:bCs w:val="0"/>
          <w:color w:val="auto"/>
          <w:kern w:val="0"/>
          <w:sz w:val="24"/>
          <w:szCs w:val="20"/>
        </w:rPr>
        <w:t>as one room. When the hotel decides to refurnish its rooms, it removes all the capitalized assets from its books</w:t>
      </w:r>
      <w:r w:rsidR="00C26BF0">
        <w:rPr>
          <w:rFonts w:asciiTheme="minorHAnsi" w:hAnsiTheme="minorHAnsi"/>
          <w:bCs w:val="0"/>
          <w:color w:val="auto"/>
          <w:kern w:val="0"/>
          <w:sz w:val="24"/>
          <w:szCs w:val="20"/>
        </w:rPr>
        <w:t xml:space="preserve"> at that time</w:t>
      </w:r>
      <w:r>
        <w:rPr>
          <w:rFonts w:asciiTheme="minorHAnsi" w:hAnsiTheme="minorHAnsi"/>
          <w:bCs w:val="0"/>
          <w:color w:val="auto"/>
          <w:kern w:val="0"/>
          <w:sz w:val="24"/>
          <w:szCs w:val="20"/>
        </w:rPr>
        <w:t>.</w:t>
      </w:r>
    </w:p>
    <w:p w14:paraId="131C7BE2" w14:textId="7E4EDED8" w:rsidR="00AF0197" w:rsidRPr="00AF0197" w:rsidRDefault="00AF0197" w:rsidP="00AF0197">
      <w:pPr>
        <w:pStyle w:val="BodyText"/>
      </w:pPr>
    </w:p>
    <w:p w14:paraId="03A4D6FD" w14:textId="6922178B" w:rsidR="004A2852" w:rsidRDefault="000928D9" w:rsidP="008E34B9">
      <w:pPr>
        <w:pStyle w:val="Heading1"/>
        <w:tabs>
          <w:tab w:val="left" w:pos="6675"/>
        </w:tabs>
        <w:spacing w:line="240" w:lineRule="auto"/>
        <w:ind w:left="-2160" w:firstLine="187"/>
        <w:rPr>
          <w:sz w:val="24"/>
        </w:rPr>
      </w:pPr>
      <w:r>
        <w:rPr>
          <w:rFonts w:ascii="Garamond" w:hAnsi="Garamond"/>
        </w:rPr>
        <w:lastRenderedPageBreak/>
        <w:t>.</w:t>
      </w:r>
      <w:r w:rsidR="009E448C">
        <w:rPr>
          <w:sz w:val="24"/>
        </w:rPr>
        <w:t>Recommendation</w:t>
      </w:r>
    </w:p>
    <w:p w14:paraId="14FB88F1" w14:textId="3BA5E160" w:rsidR="00794334" w:rsidRDefault="008E34B9" w:rsidP="009E448C">
      <w:pPr>
        <w:ind w:left="-1260"/>
        <w:rPr>
          <w:rFonts w:asciiTheme="minorHAnsi" w:hAnsiTheme="minorHAnsi"/>
          <w:sz w:val="24"/>
        </w:rPr>
      </w:pPr>
      <w:r>
        <w:rPr>
          <w:sz w:val="24"/>
        </w:rPr>
        <w:t>A</w:t>
      </w:r>
      <w:r w:rsidR="003C2B4A">
        <w:rPr>
          <w:sz w:val="24"/>
        </w:rPr>
        <w:t>ll Services</w:t>
      </w:r>
      <w:r w:rsidR="00814E8F">
        <w:rPr>
          <w:sz w:val="24"/>
        </w:rPr>
        <w:t xml:space="preserve"> to</w:t>
      </w:r>
      <w:r w:rsidR="003C2B4A">
        <w:rPr>
          <w:sz w:val="24"/>
        </w:rPr>
        <w:t xml:space="preserve"> set the minimum threshold for asset capitalization </w:t>
      </w:r>
      <w:r w:rsidR="00053123">
        <w:rPr>
          <w:rFonts w:asciiTheme="minorHAnsi" w:hAnsiTheme="minorHAnsi"/>
          <w:sz w:val="24"/>
        </w:rPr>
        <w:t>of</w:t>
      </w:r>
      <w:r w:rsidR="002542F2">
        <w:rPr>
          <w:rFonts w:asciiTheme="minorHAnsi" w:hAnsiTheme="minorHAnsi"/>
          <w:sz w:val="24"/>
        </w:rPr>
        <w:t xml:space="preserve"> </w:t>
      </w:r>
      <w:r w:rsidR="002542F2" w:rsidRPr="00346AB3">
        <w:rPr>
          <w:rFonts w:asciiTheme="minorHAnsi" w:hAnsiTheme="minorHAnsi"/>
          <w:sz w:val="24"/>
        </w:rPr>
        <w:t>assets purchased in quantit</w:t>
      </w:r>
      <w:r w:rsidR="002542F2">
        <w:rPr>
          <w:rFonts w:asciiTheme="minorHAnsi" w:hAnsiTheme="minorHAnsi"/>
          <w:sz w:val="24"/>
        </w:rPr>
        <w:t>y</w:t>
      </w:r>
      <w:r w:rsidR="002542F2">
        <w:rPr>
          <w:sz w:val="24"/>
        </w:rPr>
        <w:t xml:space="preserve"> </w:t>
      </w:r>
      <w:r w:rsidR="003C2B4A">
        <w:rPr>
          <w:sz w:val="24"/>
        </w:rPr>
        <w:t>at a purchase cost equal to or greater than $2,500</w:t>
      </w:r>
      <w:r w:rsidR="00794334" w:rsidRPr="00346AB3">
        <w:rPr>
          <w:rFonts w:asciiTheme="minorHAnsi" w:hAnsiTheme="minorHAnsi"/>
          <w:sz w:val="24"/>
        </w:rPr>
        <w:t xml:space="preserve">.  </w:t>
      </w:r>
      <w:r w:rsidR="002E6117">
        <w:rPr>
          <w:rFonts w:asciiTheme="minorHAnsi" w:hAnsiTheme="minorHAnsi"/>
          <w:sz w:val="24"/>
        </w:rPr>
        <w:t xml:space="preserve"> Services with more stringent asset capitalization threshold policies may follow their internal policy.</w:t>
      </w:r>
      <w:r w:rsidR="003C2B4A">
        <w:rPr>
          <w:rFonts w:asciiTheme="minorHAnsi" w:hAnsiTheme="minorHAnsi"/>
          <w:sz w:val="24"/>
        </w:rPr>
        <w:t xml:space="preserve"> </w:t>
      </w:r>
      <w:r w:rsidR="00794334">
        <w:rPr>
          <w:rFonts w:asciiTheme="minorHAnsi" w:hAnsiTheme="minorHAnsi"/>
          <w:sz w:val="24"/>
        </w:rPr>
        <w:t xml:space="preserve">Additionally, the assets purchased in quantity </w:t>
      </w:r>
      <w:r w:rsidR="00717578">
        <w:rPr>
          <w:rFonts w:asciiTheme="minorHAnsi" w:hAnsiTheme="minorHAnsi"/>
          <w:sz w:val="24"/>
        </w:rPr>
        <w:t xml:space="preserve">should be </w:t>
      </w:r>
      <w:r w:rsidR="00794334">
        <w:rPr>
          <w:rFonts w:asciiTheme="minorHAnsi" w:hAnsiTheme="minorHAnsi"/>
          <w:sz w:val="24"/>
        </w:rPr>
        <w:t>identical</w:t>
      </w:r>
      <w:r w:rsidR="00717578">
        <w:rPr>
          <w:rFonts w:asciiTheme="minorHAnsi" w:hAnsiTheme="minorHAnsi"/>
          <w:sz w:val="24"/>
        </w:rPr>
        <w:t xml:space="preserve"> items</w:t>
      </w:r>
      <w:r w:rsidR="003C686A">
        <w:rPr>
          <w:rFonts w:asciiTheme="minorHAnsi" w:hAnsiTheme="minorHAnsi"/>
          <w:sz w:val="24"/>
        </w:rPr>
        <w:t xml:space="preserve"> and have a life expectancy of two</w:t>
      </w:r>
      <w:r w:rsidR="00794334">
        <w:rPr>
          <w:rFonts w:asciiTheme="minorHAnsi" w:hAnsiTheme="minorHAnsi"/>
          <w:sz w:val="24"/>
        </w:rPr>
        <w:t xml:space="preserve"> years or more.  The whole room capitalization concept and composite purchase capitalization are both permitted to be used when capitalizing assets purchased in quantity. The </w:t>
      </w:r>
      <w:r>
        <w:rPr>
          <w:rFonts w:asciiTheme="minorHAnsi" w:hAnsiTheme="minorHAnsi"/>
          <w:sz w:val="24"/>
        </w:rPr>
        <w:t xml:space="preserve">DoD </w:t>
      </w:r>
      <w:r w:rsidR="00794334">
        <w:rPr>
          <w:rFonts w:asciiTheme="minorHAnsi" w:hAnsiTheme="minorHAnsi"/>
          <w:sz w:val="24"/>
        </w:rPr>
        <w:t xml:space="preserve">FMR </w:t>
      </w:r>
      <w:r w:rsidR="00D77D98">
        <w:rPr>
          <w:rFonts w:asciiTheme="minorHAnsi" w:hAnsiTheme="minorHAnsi"/>
          <w:sz w:val="24"/>
        </w:rPr>
        <w:t>s</w:t>
      </w:r>
      <w:r w:rsidR="00794334">
        <w:rPr>
          <w:rFonts w:asciiTheme="minorHAnsi" w:hAnsiTheme="minorHAnsi"/>
          <w:sz w:val="24"/>
        </w:rPr>
        <w:t>hould be revised to reflect this recommendation.</w:t>
      </w:r>
      <w:r w:rsidR="00255F93">
        <w:rPr>
          <w:rFonts w:asciiTheme="minorHAnsi" w:hAnsiTheme="minorHAnsi"/>
          <w:sz w:val="24"/>
        </w:rPr>
        <w:t xml:space="preserve"> </w:t>
      </w:r>
      <w:r w:rsidR="00D77D98">
        <w:rPr>
          <w:rFonts w:asciiTheme="minorHAnsi" w:hAnsiTheme="minorHAnsi"/>
          <w:sz w:val="24"/>
        </w:rPr>
        <w:t xml:space="preserve">No changes necessary to the </w:t>
      </w:r>
      <w:r w:rsidR="00255F93">
        <w:rPr>
          <w:rFonts w:asciiTheme="minorHAnsi" w:hAnsiTheme="minorHAnsi"/>
          <w:sz w:val="24"/>
        </w:rPr>
        <w:t>DODI 1015.15</w:t>
      </w:r>
      <w:r w:rsidR="00D77D98">
        <w:rPr>
          <w:rFonts w:asciiTheme="minorHAnsi" w:hAnsiTheme="minorHAnsi"/>
          <w:sz w:val="24"/>
        </w:rPr>
        <w:t>.</w:t>
      </w:r>
      <w:r w:rsidR="00255F93">
        <w:rPr>
          <w:rFonts w:asciiTheme="minorHAnsi" w:hAnsiTheme="minorHAnsi"/>
          <w:sz w:val="24"/>
        </w:rPr>
        <w:t xml:space="preserve"> </w:t>
      </w:r>
    </w:p>
    <w:p w14:paraId="2B757BFC" w14:textId="77777777" w:rsidR="00794334" w:rsidRDefault="00794334" w:rsidP="009E448C">
      <w:pPr>
        <w:ind w:left="-1260"/>
        <w:rPr>
          <w:sz w:val="24"/>
        </w:rPr>
      </w:pPr>
    </w:p>
    <w:p w14:paraId="3944EA7B" w14:textId="77777777" w:rsidR="004A2852" w:rsidRDefault="004A2852" w:rsidP="004A2852">
      <w:pPr>
        <w:ind w:left="-648"/>
        <w:rPr>
          <w:sz w:val="24"/>
        </w:rPr>
      </w:pPr>
    </w:p>
    <w:p w14:paraId="5B4D6208" w14:textId="49229FDD" w:rsidR="009E448C" w:rsidRDefault="009E448C" w:rsidP="008E34B9">
      <w:pPr>
        <w:pStyle w:val="Heading1"/>
        <w:tabs>
          <w:tab w:val="left" w:pos="6675"/>
        </w:tabs>
        <w:spacing w:line="240" w:lineRule="auto"/>
        <w:ind w:left="-2160" w:firstLine="187"/>
        <w:rPr>
          <w:sz w:val="24"/>
        </w:rPr>
      </w:pPr>
      <w:r>
        <w:rPr>
          <w:sz w:val="24"/>
        </w:rPr>
        <w:t>Service Concurrence</w:t>
      </w:r>
    </w:p>
    <w:tbl>
      <w:tblPr>
        <w:tblStyle w:val="TableGrid"/>
        <w:tblW w:w="0" w:type="auto"/>
        <w:tblInd w:w="-1173" w:type="dxa"/>
        <w:tblLook w:val="04A0" w:firstRow="1" w:lastRow="0" w:firstColumn="1" w:lastColumn="0" w:noHBand="0" w:noVBand="1"/>
      </w:tblPr>
      <w:tblGrid>
        <w:gridCol w:w="2065"/>
        <w:gridCol w:w="2883"/>
        <w:gridCol w:w="8460"/>
      </w:tblGrid>
      <w:tr w:rsidR="009E448C" w14:paraId="2F9216C4" w14:textId="77777777" w:rsidTr="00E02C92">
        <w:tc>
          <w:tcPr>
            <w:tcW w:w="2065" w:type="dxa"/>
            <w:shd w:val="clear" w:color="auto" w:fill="A6A6A6" w:themeFill="background1" w:themeFillShade="A6"/>
          </w:tcPr>
          <w:p w14:paraId="2FD34661" w14:textId="128030E7" w:rsidR="009E448C" w:rsidRPr="009E448C" w:rsidRDefault="009E448C" w:rsidP="009E448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2883" w:type="dxa"/>
            <w:shd w:val="clear" w:color="auto" w:fill="A6A6A6" w:themeFill="background1" w:themeFillShade="A6"/>
          </w:tcPr>
          <w:p w14:paraId="573FB37B" w14:textId="5AE0BD45" w:rsidR="009E448C" w:rsidRPr="009E448C" w:rsidRDefault="009E448C" w:rsidP="009E448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8460" w:type="dxa"/>
            <w:shd w:val="clear" w:color="auto" w:fill="A6A6A6" w:themeFill="background1" w:themeFillShade="A6"/>
          </w:tcPr>
          <w:p w14:paraId="41D55105" w14:textId="64CB0E40" w:rsidR="009E448C" w:rsidRPr="009E448C" w:rsidRDefault="009E448C" w:rsidP="00AC54D3">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 xml:space="preserve">Reason </w:t>
            </w:r>
            <w:r w:rsidR="00E02C92">
              <w:rPr>
                <w:rFonts w:asciiTheme="minorHAnsi" w:hAnsiTheme="minorHAnsi" w:cstheme="majorHAnsi"/>
                <w:color w:val="auto"/>
                <w:sz w:val="24"/>
              </w:rPr>
              <w:t>for Non-concurrence</w:t>
            </w:r>
          </w:p>
        </w:tc>
      </w:tr>
      <w:tr w:rsidR="009E448C" w14:paraId="763C1128" w14:textId="070880D8" w:rsidTr="00E02C92">
        <w:trPr>
          <w:trHeight w:val="462"/>
        </w:trPr>
        <w:tc>
          <w:tcPr>
            <w:tcW w:w="2065" w:type="dxa"/>
          </w:tcPr>
          <w:p w14:paraId="29596151" w14:textId="18CCFE7D" w:rsidR="009E448C" w:rsidRPr="009E448C" w:rsidRDefault="009E448C" w:rsidP="004A2852">
            <w:pPr>
              <w:pStyle w:val="Heading1"/>
              <w:tabs>
                <w:tab w:val="left" w:pos="6675"/>
              </w:tabs>
              <w:rPr>
                <w:rFonts w:asciiTheme="minorHAnsi" w:hAnsiTheme="minorHAnsi" w:cstheme="majorHAnsi"/>
                <w:color w:val="auto"/>
                <w:sz w:val="24"/>
              </w:rPr>
            </w:pPr>
            <w:r w:rsidRPr="009E448C">
              <w:rPr>
                <w:rFonts w:asciiTheme="minorHAnsi" w:hAnsiTheme="minorHAnsi" w:cstheme="majorHAnsi"/>
                <w:color w:val="auto"/>
                <w:sz w:val="24"/>
              </w:rPr>
              <w:t>Air Force</w:t>
            </w:r>
          </w:p>
        </w:tc>
        <w:tc>
          <w:tcPr>
            <w:tcW w:w="2883" w:type="dxa"/>
          </w:tcPr>
          <w:p w14:paraId="28068C50" w14:textId="77777777" w:rsidR="009E448C" w:rsidRPr="00E02C92" w:rsidRDefault="008E34B9" w:rsidP="004A2852">
            <w:pPr>
              <w:pStyle w:val="Heading1"/>
              <w:tabs>
                <w:tab w:val="left" w:pos="6675"/>
              </w:tabs>
              <w:rPr>
                <w:rFonts w:asciiTheme="minorHAnsi" w:hAnsiTheme="minorHAnsi" w:cstheme="majorHAnsi"/>
                <w:color w:val="auto"/>
                <w:sz w:val="24"/>
                <w:szCs w:val="24"/>
              </w:rPr>
            </w:pPr>
            <w:r w:rsidRPr="00E02C92">
              <w:rPr>
                <w:rFonts w:asciiTheme="minorHAnsi" w:hAnsiTheme="minorHAnsi" w:cstheme="majorHAnsi"/>
                <w:color w:val="auto"/>
                <w:sz w:val="24"/>
                <w:szCs w:val="24"/>
              </w:rPr>
              <w:t>Concurrence on 9/18/2014</w:t>
            </w:r>
            <w:r w:rsidR="00E02C92" w:rsidRPr="00E02C92">
              <w:rPr>
                <w:rFonts w:asciiTheme="minorHAnsi" w:hAnsiTheme="minorHAnsi" w:cstheme="majorHAnsi"/>
                <w:color w:val="auto"/>
                <w:sz w:val="24"/>
                <w:szCs w:val="24"/>
              </w:rPr>
              <w:t>.</w:t>
            </w:r>
          </w:p>
          <w:p w14:paraId="64F7170C" w14:textId="3662C625" w:rsidR="00E02C92" w:rsidRPr="00E02C92" w:rsidRDefault="00E02C92" w:rsidP="00E02C92">
            <w:pPr>
              <w:pStyle w:val="BodyText"/>
              <w:spacing w:after="0"/>
              <w:rPr>
                <w:b/>
              </w:rPr>
            </w:pPr>
            <w:r w:rsidRPr="00E02C92">
              <w:rPr>
                <w:b/>
                <w:sz w:val="24"/>
                <w:szCs w:val="24"/>
              </w:rPr>
              <w:t>Re-concurred 11/15/2018.</w:t>
            </w:r>
          </w:p>
        </w:tc>
        <w:tc>
          <w:tcPr>
            <w:tcW w:w="8460" w:type="dxa"/>
          </w:tcPr>
          <w:p w14:paraId="6C439A56" w14:textId="72985CBB" w:rsidR="009E448C" w:rsidRPr="009E448C" w:rsidRDefault="009E448C" w:rsidP="004A2852">
            <w:pPr>
              <w:pStyle w:val="Heading1"/>
              <w:tabs>
                <w:tab w:val="left" w:pos="6675"/>
              </w:tabs>
              <w:rPr>
                <w:rFonts w:asciiTheme="minorHAnsi" w:hAnsiTheme="minorHAnsi" w:cstheme="majorHAnsi"/>
                <w:color w:val="auto"/>
                <w:sz w:val="24"/>
              </w:rPr>
            </w:pPr>
          </w:p>
        </w:tc>
      </w:tr>
      <w:tr w:rsidR="009E448C" w14:paraId="25D3B4BC" w14:textId="7884B419" w:rsidTr="00E02C92">
        <w:trPr>
          <w:trHeight w:val="435"/>
        </w:trPr>
        <w:tc>
          <w:tcPr>
            <w:tcW w:w="2065" w:type="dxa"/>
          </w:tcPr>
          <w:p w14:paraId="796B17A6" w14:textId="0B4BC380" w:rsidR="009E448C" w:rsidRPr="009E448C" w:rsidRDefault="009E448C" w:rsidP="004A2852">
            <w:pPr>
              <w:pStyle w:val="Heading1"/>
              <w:tabs>
                <w:tab w:val="left" w:pos="6675"/>
              </w:tabs>
              <w:rPr>
                <w:rFonts w:asciiTheme="minorHAnsi" w:hAnsiTheme="minorHAnsi" w:cstheme="majorHAnsi"/>
                <w:color w:val="auto"/>
                <w:sz w:val="24"/>
              </w:rPr>
            </w:pPr>
            <w:r w:rsidRPr="009E448C">
              <w:rPr>
                <w:rFonts w:asciiTheme="minorHAnsi" w:hAnsiTheme="minorHAnsi" w:cstheme="majorHAnsi"/>
                <w:color w:val="auto"/>
                <w:sz w:val="24"/>
              </w:rPr>
              <w:t>Army</w:t>
            </w:r>
          </w:p>
        </w:tc>
        <w:tc>
          <w:tcPr>
            <w:tcW w:w="2883" w:type="dxa"/>
          </w:tcPr>
          <w:p w14:paraId="35F5EA99" w14:textId="77777777" w:rsidR="009E448C" w:rsidRPr="00E02C92" w:rsidRDefault="008E34B9" w:rsidP="004A2852">
            <w:pPr>
              <w:pStyle w:val="Heading1"/>
              <w:tabs>
                <w:tab w:val="left" w:pos="6675"/>
              </w:tabs>
              <w:rPr>
                <w:rFonts w:asciiTheme="minorHAnsi" w:hAnsiTheme="minorHAnsi" w:cstheme="majorHAnsi"/>
                <w:color w:val="auto"/>
                <w:sz w:val="24"/>
                <w:szCs w:val="24"/>
              </w:rPr>
            </w:pPr>
            <w:r w:rsidRPr="00E02C92">
              <w:rPr>
                <w:rFonts w:asciiTheme="minorHAnsi" w:hAnsiTheme="minorHAnsi" w:cstheme="majorHAnsi"/>
                <w:color w:val="auto"/>
                <w:sz w:val="24"/>
                <w:szCs w:val="24"/>
              </w:rPr>
              <w:t>Concurrence on 9/24/2014</w:t>
            </w:r>
            <w:r w:rsidR="00E02C92" w:rsidRPr="00E02C92">
              <w:rPr>
                <w:rFonts w:asciiTheme="minorHAnsi" w:hAnsiTheme="minorHAnsi" w:cstheme="majorHAnsi"/>
                <w:color w:val="auto"/>
                <w:sz w:val="24"/>
                <w:szCs w:val="24"/>
              </w:rPr>
              <w:t>.</w:t>
            </w:r>
          </w:p>
          <w:p w14:paraId="1C773FB5" w14:textId="68E2B1B9" w:rsidR="00E02C92" w:rsidRPr="00E02C92" w:rsidRDefault="00E02C92" w:rsidP="00E02C92">
            <w:pPr>
              <w:pStyle w:val="BodyText"/>
              <w:spacing w:after="0"/>
              <w:rPr>
                <w:b/>
              </w:rPr>
            </w:pPr>
            <w:r w:rsidRPr="00E02C92">
              <w:rPr>
                <w:b/>
                <w:sz w:val="24"/>
                <w:szCs w:val="24"/>
              </w:rPr>
              <w:t>Re-concurred 11/2/2018.</w:t>
            </w:r>
          </w:p>
        </w:tc>
        <w:tc>
          <w:tcPr>
            <w:tcW w:w="8460" w:type="dxa"/>
          </w:tcPr>
          <w:p w14:paraId="15FE21CA" w14:textId="2935D3B8" w:rsidR="009E448C" w:rsidRPr="009E448C" w:rsidRDefault="009E448C" w:rsidP="004A2852">
            <w:pPr>
              <w:pStyle w:val="Heading1"/>
              <w:tabs>
                <w:tab w:val="left" w:pos="6675"/>
              </w:tabs>
              <w:rPr>
                <w:rFonts w:asciiTheme="minorHAnsi" w:hAnsiTheme="minorHAnsi" w:cstheme="majorHAnsi"/>
                <w:color w:val="auto"/>
                <w:sz w:val="24"/>
              </w:rPr>
            </w:pPr>
          </w:p>
        </w:tc>
      </w:tr>
      <w:tr w:rsidR="009E448C" w14:paraId="2E589EB3" w14:textId="5162FBDA" w:rsidTr="00E02C92">
        <w:trPr>
          <w:trHeight w:val="444"/>
        </w:trPr>
        <w:tc>
          <w:tcPr>
            <w:tcW w:w="2065" w:type="dxa"/>
          </w:tcPr>
          <w:p w14:paraId="45C949B1" w14:textId="49A88A70" w:rsidR="009E448C" w:rsidRPr="009E448C" w:rsidRDefault="009E448C" w:rsidP="009E448C">
            <w:pPr>
              <w:pStyle w:val="Heading1"/>
              <w:tabs>
                <w:tab w:val="left" w:pos="6675"/>
              </w:tabs>
              <w:rPr>
                <w:rFonts w:asciiTheme="minorHAnsi" w:hAnsiTheme="minorHAnsi" w:cstheme="majorHAnsi"/>
                <w:color w:val="auto"/>
                <w:sz w:val="24"/>
              </w:rPr>
            </w:pPr>
            <w:r w:rsidRPr="009E448C">
              <w:rPr>
                <w:rFonts w:asciiTheme="minorHAnsi" w:hAnsiTheme="minorHAnsi" w:cstheme="majorHAnsi"/>
                <w:color w:val="auto"/>
                <w:sz w:val="24"/>
              </w:rPr>
              <w:t xml:space="preserve">Marines </w:t>
            </w:r>
          </w:p>
        </w:tc>
        <w:tc>
          <w:tcPr>
            <w:tcW w:w="2883" w:type="dxa"/>
          </w:tcPr>
          <w:p w14:paraId="27BE6AB7" w14:textId="77777777" w:rsidR="009E448C" w:rsidRPr="00E02C92" w:rsidRDefault="008E34B9" w:rsidP="004A2852">
            <w:pPr>
              <w:pStyle w:val="Heading1"/>
              <w:tabs>
                <w:tab w:val="left" w:pos="6675"/>
              </w:tabs>
              <w:rPr>
                <w:rFonts w:asciiTheme="minorHAnsi" w:hAnsiTheme="minorHAnsi" w:cstheme="majorHAnsi"/>
                <w:color w:val="auto"/>
                <w:sz w:val="24"/>
                <w:szCs w:val="24"/>
              </w:rPr>
            </w:pPr>
            <w:r w:rsidRPr="00E02C92">
              <w:rPr>
                <w:rFonts w:asciiTheme="minorHAnsi" w:hAnsiTheme="minorHAnsi" w:cstheme="majorHAnsi"/>
                <w:color w:val="auto"/>
                <w:sz w:val="24"/>
                <w:szCs w:val="24"/>
              </w:rPr>
              <w:t>Concurrence on 9/24/2014</w:t>
            </w:r>
            <w:r w:rsidR="00E02C92" w:rsidRPr="00E02C92">
              <w:rPr>
                <w:rFonts w:asciiTheme="minorHAnsi" w:hAnsiTheme="minorHAnsi" w:cstheme="majorHAnsi"/>
                <w:color w:val="auto"/>
                <w:sz w:val="24"/>
                <w:szCs w:val="24"/>
              </w:rPr>
              <w:t>.</w:t>
            </w:r>
          </w:p>
          <w:p w14:paraId="561CEA62" w14:textId="4D5A6631" w:rsidR="00E02C92" w:rsidRPr="00E02C92" w:rsidRDefault="00E02C92" w:rsidP="00E02C92">
            <w:pPr>
              <w:pStyle w:val="BodyText"/>
              <w:spacing w:after="0"/>
              <w:rPr>
                <w:b/>
              </w:rPr>
            </w:pPr>
            <w:r w:rsidRPr="00E02C92">
              <w:rPr>
                <w:b/>
                <w:sz w:val="24"/>
                <w:szCs w:val="24"/>
              </w:rPr>
              <w:t>Re-concurred 10/31/2018.</w:t>
            </w:r>
          </w:p>
        </w:tc>
        <w:tc>
          <w:tcPr>
            <w:tcW w:w="8460" w:type="dxa"/>
          </w:tcPr>
          <w:p w14:paraId="5D64C03F" w14:textId="77777777" w:rsidR="009E448C" w:rsidRPr="009E448C" w:rsidRDefault="009E448C" w:rsidP="004A2852">
            <w:pPr>
              <w:pStyle w:val="Heading1"/>
              <w:tabs>
                <w:tab w:val="left" w:pos="6675"/>
              </w:tabs>
              <w:rPr>
                <w:rFonts w:asciiTheme="minorHAnsi" w:hAnsiTheme="minorHAnsi" w:cstheme="majorHAnsi"/>
                <w:color w:val="auto"/>
                <w:sz w:val="24"/>
              </w:rPr>
            </w:pPr>
          </w:p>
        </w:tc>
      </w:tr>
      <w:tr w:rsidR="009E448C" w14:paraId="5636CA4B" w14:textId="7D3019DC" w:rsidTr="00E02C92">
        <w:trPr>
          <w:trHeight w:val="444"/>
        </w:trPr>
        <w:tc>
          <w:tcPr>
            <w:tcW w:w="2065" w:type="dxa"/>
          </w:tcPr>
          <w:p w14:paraId="314E5E0D" w14:textId="61D3BA56" w:rsidR="009E448C" w:rsidRPr="009E448C" w:rsidRDefault="009E448C" w:rsidP="004A2852">
            <w:pPr>
              <w:pStyle w:val="Heading1"/>
              <w:tabs>
                <w:tab w:val="left" w:pos="6675"/>
              </w:tabs>
              <w:rPr>
                <w:rFonts w:asciiTheme="minorHAnsi" w:hAnsiTheme="minorHAnsi" w:cstheme="majorHAnsi"/>
                <w:color w:val="auto"/>
                <w:sz w:val="24"/>
              </w:rPr>
            </w:pPr>
            <w:r w:rsidRPr="009E448C">
              <w:rPr>
                <w:rFonts w:asciiTheme="minorHAnsi" w:hAnsiTheme="minorHAnsi" w:cstheme="majorHAnsi"/>
                <w:color w:val="auto"/>
                <w:sz w:val="24"/>
              </w:rPr>
              <w:t>Navy</w:t>
            </w:r>
          </w:p>
        </w:tc>
        <w:tc>
          <w:tcPr>
            <w:tcW w:w="2883" w:type="dxa"/>
          </w:tcPr>
          <w:p w14:paraId="10BB8305" w14:textId="77777777" w:rsidR="009E448C" w:rsidRPr="00E02C92" w:rsidRDefault="008E34B9" w:rsidP="004A2852">
            <w:pPr>
              <w:pStyle w:val="Heading1"/>
              <w:tabs>
                <w:tab w:val="left" w:pos="6675"/>
              </w:tabs>
              <w:rPr>
                <w:rFonts w:asciiTheme="minorHAnsi" w:hAnsiTheme="minorHAnsi" w:cstheme="majorHAnsi"/>
                <w:color w:val="auto"/>
                <w:sz w:val="24"/>
                <w:szCs w:val="24"/>
              </w:rPr>
            </w:pPr>
            <w:r w:rsidRPr="00E02C92">
              <w:rPr>
                <w:rFonts w:asciiTheme="minorHAnsi" w:hAnsiTheme="minorHAnsi" w:cstheme="majorHAnsi"/>
                <w:color w:val="auto"/>
                <w:sz w:val="24"/>
                <w:szCs w:val="24"/>
              </w:rPr>
              <w:t>Concurrence on 9/22/2014</w:t>
            </w:r>
            <w:r w:rsidR="00E02C92" w:rsidRPr="00E02C92">
              <w:rPr>
                <w:rFonts w:asciiTheme="minorHAnsi" w:hAnsiTheme="minorHAnsi" w:cstheme="majorHAnsi"/>
                <w:color w:val="auto"/>
                <w:sz w:val="24"/>
                <w:szCs w:val="24"/>
              </w:rPr>
              <w:t>.</w:t>
            </w:r>
          </w:p>
          <w:p w14:paraId="267AF5DC" w14:textId="0E1B53C1" w:rsidR="00E02C92" w:rsidRPr="00E02C92" w:rsidRDefault="00E02C92" w:rsidP="00E02C92">
            <w:pPr>
              <w:pStyle w:val="BodyText"/>
              <w:spacing w:after="0"/>
              <w:rPr>
                <w:b/>
              </w:rPr>
            </w:pPr>
            <w:r w:rsidRPr="00E02C92">
              <w:rPr>
                <w:b/>
                <w:sz w:val="24"/>
                <w:szCs w:val="24"/>
              </w:rPr>
              <w:t>Re-concurred 11/2/2018.</w:t>
            </w:r>
          </w:p>
        </w:tc>
        <w:tc>
          <w:tcPr>
            <w:tcW w:w="8460" w:type="dxa"/>
          </w:tcPr>
          <w:p w14:paraId="395CF91E" w14:textId="6BFC9BE1" w:rsidR="009E448C" w:rsidRPr="009E448C" w:rsidRDefault="00AC54D3" w:rsidP="000028E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 </w:t>
            </w:r>
          </w:p>
        </w:tc>
      </w:tr>
    </w:tbl>
    <w:p w14:paraId="2FA46719" w14:textId="77777777" w:rsidR="002A3EB0" w:rsidRPr="002A3EB0" w:rsidRDefault="002A3EB0" w:rsidP="002A3EB0">
      <w:pPr>
        <w:pStyle w:val="BodyText"/>
      </w:pPr>
    </w:p>
    <w:p w14:paraId="5E024E2C" w14:textId="77777777" w:rsidR="008E34B9" w:rsidRDefault="008E34B9" w:rsidP="008E34B9">
      <w:pPr>
        <w:pStyle w:val="Heading1"/>
        <w:tabs>
          <w:tab w:val="left" w:pos="6675"/>
        </w:tabs>
        <w:ind w:left="-2160" w:firstLine="180"/>
        <w:rPr>
          <w:sz w:val="24"/>
        </w:rPr>
      </w:pPr>
      <w:r>
        <w:rPr>
          <w:sz w:val="24"/>
        </w:rPr>
        <w:t>USD(P&amp;R)/MC&amp;FP Disposition</w:t>
      </w:r>
    </w:p>
    <w:p w14:paraId="008A9719" w14:textId="61083757" w:rsidR="00E02C92" w:rsidRPr="00932F0A" w:rsidRDefault="00E02C92" w:rsidP="00E02C92">
      <w:pPr>
        <w:pStyle w:val="ChapterTitle"/>
        <w:rPr>
          <w:rFonts w:asciiTheme="minorHAnsi" w:hAnsiTheme="minorHAnsi"/>
          <w:b/>
          <w:color w:val="4F2D7F"/>
          <w:sz w:val="24"/>
        </w:rPr>
      </w:pPr>
      <w:r w:rsidRPr="00932F0A">
        <w:rPr>
          <w:rFonts w:asciiTheme="minorHAnsi" w:hAnsiTheme="minorHAnsi"/>
          <w:sz w:val="24"/>
        </w:rPr>
        <w:t>No further action</w:t>
      </w:r>
      <w:r>
        <w:rPr>
          <w:rFonts w:asciiTheme="minorHAnsi" w:hAnsiTheme="minorHAnsi"/>
          <w:sz w:val="24"/>
        </w:rPr>
        <w:t>.</w:t>
      </w:r>
    </w:p>
    <w:p w14:paraId="0DEE2736" w14:textId="77777777" w:rsidR="008E34B9" w:rsidRDefault="008E34B9" w:rsidP="008E34B9">
      <w:pPr>
        <w:rPr>
          <w:sz w:val="24"/>
        </w:rPr>
      </w:pPr>
    </w:p>
    <w:p w14:paraId="0462EA7C" w14:textId="77777777" w:rsidR="008E34B9" w:rsidRDefault="008E34B9" w:rsidP="008E34B9">
      <w:pPr>
        <w:ind w:left="-1980"/>
        <w:rPr>
          <w:rFonts w:ascii="Arial Black" w:hAnsi="Arial Black"/>
          <w:b/>
          <w:color w:val="4F2D7F"/>
          <w:sz w:val="24"/>
        </w:rPr>
      </w:pPr>
      <w:r>
        <w:rPr>
          <w:rFonts w:ascii="Arial Black" w:hAnsi="Arial Black"/>
          <w:b/>
          <w:color w:val="4F2D7F"/>
          <w:sz w:val="24"/>
        </w:rPr>
        <w:t>DFAS Disposition</w:t>
      </w:r>
    </w:p>
    <w:p w14:paraId="4FBA876A" w14:textId="518253E3" w:rsidR="00E02C92" w:rsidRPr="00932F0A" w:rsidRDefault="00E02C92" w:rsidP="00E02C92">
      <w:pPr>
        <w:pStyle w:val="ChapterTitle"/>
        <w:rPr>
          <w:rFonts w:asciiTheme="minorHAnsi" w:hAnsiTheme="minorHAnsi"/>
          <w:b/>
          <w:color w:val="4F2D7F"/>
          <w:sz w:val="24"/>
        </w:rPr>
      </w:pPr>
      <w:r>
        <w:rPr>
          <w:rFonts w:asciiTheme="minorHAnsi" w:hAnsiTheme="minorHAnsi"/>
          <w:sz w:val="24"/>
        </w:rPr>
        <w:t>Revise DoD FMR Volume 13, Chapter 3, paragraph 03030</w:t>
      </w:r>
      <w:r w:rsidR="00115CF8">
        <w:rPr>
          <w:rFonts w:asciiTheme="minorHAnsi" w:hAnsiTheme="minorHAnsi"/>
          <w:sz w:val="24"/>
        </w:rPr>
        <w:t>6</w:t>
      </w:r>
      <w:r>
        <w:rPr>
          <w:rFonts w:asciiTheme="minorHAnsi" w:hAnsiTheme="minorHAnsi"/>
          <w:sz w:val="24"/>
        </w:rPr>
        <w:t>.</w:t>
      </w:r>
      <w:r w:rsidR="00115CF8">
        <w:rPr>
          <w:rFonts w:asciiTheme="minorHAnsi" w:hAnsiTheme="minorHAnsi"/>
          <w:sz w:val="24"/>
        </w:rPr>
        <w:t>A</w:t>
      </w:r>
      <w:r>
        <w:rPr>
          <w:rFonts w:asciiTheme="minorHAnsi" w:hAnsiTheme="minorHAnsi"/>
          <w:sz w:val="24"/>
        </w:rPr>
        <w:t>.1.a.</w:t>
      </w:r>
    </w:p>
    <w:p w14:paraId="267D60AB" w14:textId="2049A59B" w:rsidR="008E34B9" w:rsidRPr="007B3038" w:rsidRDefault="008E34B9" w:rsidP="008E34B9">
      <w:pPr>
        <w:rPr>
          <w:sz w:val="24"/>
        </w:rPr>
      </w:pPr>
      <w:r w:rsidRPr="007B3038">
        <w:rPr>
          <w:sz w:val="24"/>
        </w:rPr>
        <w:t xml:space="preserve">       </w:t>
      </w:r>
    </w:p>
    <w:p w14:paraId="32F23AA4" w14:textId="77777777" w:rsidR="008E34B9" w:rsidRDefault="008E34B9" w:rsidP="008E34B9">
      <w:pPr>
        <w:pStyle w:val="Heading1"/>
        <w:tabs>
          <w:tab w:val="left" w:pos="6675"/>
        </w:tabs>
        <w:ind w:left="-2160" w:firstLine="180"/>
        <w:rPr>
          <w:sz w:val="24"/>
        </w:rPr>
      </w:pPr>
      <w:r>
        <w:rPr>
          <w:sz w:val="24"/>
        </w:rPr>
        <w:t>Forward to</w:t>
      </w:r>
      <w:r w:rsidRPr="007B3038">
        <w:rPr>
          <w:sz w:val="24"/>
        </w:rPr>
        <w:t xml:space="preserve"> DoD</w:t>
      </w:r>
      <w:r>
        <w:rPr>
          <w:sz w:val="24"/>
        </w:rPr>
        <w:t>IG</w:t>
      </w:r>
      <w:r w:rsidRPr="007B3038">
        <w:rPr>
          <w:sz w:val="24"/>
        </w:rPr>
        <w:t>?</w:t>
      </w:r>
    </w:p>
    <w:p w14:paraId="1897488A" w14:textId="5DE6792B" w:rsidR="00E02C92" w:rsidRPr="00932F0A" w:rsidRDefault="00E02C92" w:rsidP="00E02C92">
      <w:pPr>
        <w:pStyle w:val="ChapterTitle"/>
        <w:rPr>
          <w:rFonts w:asciiTheme="minorHAnsi" w:hAnsiTheme="minorHAnsi"/>
          <w:sz w:val="24"/>
        </w:rPr>
      </w:pPr>
      <w:r w:rsidRPr="00932F0A">
        <w:rPr>
          <w:rFonts w:asciiTheme="minorHAnsi" w:hAnsiTheme="minorHAnsi"/>
          <w:sz w:val="24"/>
        </w:rPr>
        <w:t>No DoDIG equities</w:t>
      </w:r>
      <w:r>
        <w:rPr>
          <w:rFonts w:asciiTheme="minorHAnsi" w:hAnsiTheme="minorHAnsi"/>
          <w:sz w:val="24"/>
        </w:rPr>
        <w:t>.</w:t>
      </w:r>
    </w:p>
    <w:p w14:paraId="7841F36E" w14:textId="77777777" w:rsidR="004A2852" w:rsidRDefault="004A2852" w:rsidP="001310A3">
      <w:pPr>
        <w:pStyle w:val="Heading1"/>
        <w:tabs>
          <w:tab w:val="left" w:pos="6675"/>
        </w:tabs>
        <w:ind w:left="-2160" w:firstLine="180"/>
        <w:rPr>
          <w:sz w:val="24"/>
        </w:rPr>
      </w:pPr>
    </w:p>
    <w:sectPr w:rsidR="004A2852"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0211A" w14:textId="77777777" w:rsidR="00840944" w:rsidRDefault="00840944">
      <w:r>
        <w:separator/>
      </w:r>
    </w:p>
  </w:endnote>
  <w:endnote w:type="continuationSeparator" w:id="0">
    <w:p w14:paraId="7C1B38B8" w14:textId="77777777" w:rsidR="00840944" w:rsidRDefault="0084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6A09B846" w14:textId="141A8FCA" w:rsidR="001B6864" w:rsidRDefault="00834B9A" w:rsidP="001B6864">
        <w:pPr>
          <w:pStyle w:val="Footer"/>
          <w:jc w:val="right"/>
          <w:rPr>
            <w:noProof/>
          </w:rPr>
        </w:pPr>
        <w:r>
          <w:fldChar w:fldCharType="begin"/>
        </w:r>
        <w:r>
          <w:instrText xml:space="preserve"> PAGE   \* MERGEFORMAT </w:instrText>
        </w:r>
        <w:r>
          <w:fldChar w:fldCharType="separate"/>
        </w:r>
        <w:r w:rsidR="00FF5B30">
          <w:rPr>
            <w:noProof/>
          </w:rPr>
          <w:t>1</w:t>
        </w:r>
        <w:r>
          <w:rPr>
            <w:noProof/>
          </w:rPr>
          <w:fldChar w:fldCharType="end"/>
        </w:r>
      </w:p>
    </w:sdtContent>
  </w:sdt>
  <w:p w14:paraId="706D1583" w14:textId="53C726CB" w:rsidR="00255F93" w:rsidRDefault="008E34B9" w:rsidP="00255F93">
    <w:pPr>
      <w:pStyle w:val="Footer"/>
      <w:jc w:val="right"/>
    </w:pPr>
    <w:r>
      <w:rPr>
        <w:noProof/>
      </w:rPr>
      <w:t>September 11</w:t>
    </w:r>
    <w:r w:rsidR="00255F93">
      <w:rPr>
        <w:noProof/>
      </w:rPr>
      <w:t>, 2018</w:t>
    </w:r>
  </w:p>
  <w:p w14:paraId="053013CC"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A2E0" w14:textId="77777777" w:rsidR="00840944" w:rsidRDefault="00840944">
      <w:r>
        <w:separator/>
      </w:r>
    </w:p>
  </w:footnote>
  <w:footnote w:type="continuationSeparator" w:id="0">
    <w:p w14:paraId="1636E8AC" w14:textId="77777777" w:rsidR="00840944" w:rsidRDefault="0084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9E30" w14:textId="77777777" w:rsidR="00E641DB" w:rsidRDefault="00E641DB" w:rsidP="00255F93">
    <w:pPr>
      <w:pStyle w:val="Header"/>
      <w:ind w:right="1440"/>
      <w:jc w:val="center"/>
      <w:rPr>
        <w:rFonts w:asciiTheme="minorHAnsi" w:hAnsiTheme="minorHAnsi"/>
        <w:sz w:val="32"/>
      </w:rPr>
    </w:pPr>
    <w:r>
      <w:rPr>
        <w:rFonts w:asciiTheme="minorHAnsi" w:hAnsiTheme="minorHAnsi"/>
        <w:sz w:val="32"/>
      </w:rPr>
      <w:t>NAF Accounting Working Group</w:t>
    </w:r>
  </w:p>
  <w:p w14:paraId="2032C94D" w14:textId="1CBFB380" w:rsidR="00834B9A" w:rsidRDefault="008E34B9" w:rsidP="00255F93">
    <w:pPr>
      <w:pStyle w:val="Header"/>
      <w:ind w:right="1440"/>
      <w:jc w:val="center"/>
      <w:rPr>
        <w:rFonts w:asciiTheme="minorHAnsi" w:hAnsiTheme="minorHAnsi"/>
        <w:sz w:val="32"/>
      </w:rPr>
    </w:pPr>
    <w:r>
      <w:rPr>
        <w:rFonts w:asciiTheme="minorHAnsi" w:hAnsiTheme="minorHAnsi"/>
        <w:sz w:val="32"/>
      </w:rPr>
      <w:t xml:space="preserve">Capitalization of </w:t>
    </w:r>
    <w:r w:rsidR="00742420">
      <w:rPr>
        <w:rFonts w:asciiTheme="minorHAnsi" w:hAnsiTheme="minorHAnsi"/>
        <w:sz w:val="32"/>
      </w:rPr>
      <w:t>Assets Purchased in Quantity (Bulk Purchases)</w:t>
    </w:r>
  </w:p>
  <w:p w14:paraId="57616178" w14:textId="0195137C" w:rsidR="00834B9A" w:rsidRPr="00437683" w:rsidRDefault="006D7DFB" w:rsidP="00255F93">
    <w:pPr>
      <w:pStyle w:val="Header"/>
      <w:ind w:right="1440"/>
      <w:jc w:val="center"/>
      <w:rPr>
        <w:rFonts w:asciiTheme="minorHAnsi" w:hAnsiTheme="minorHAnsi"/>
        <w:sz w:val="32"/>
      </w:rPr>
    </w:pPr>
    <w:r>
      <w:rPr>
        <w:rFonts w:asciiTheme="minorHAnsi" w:hAnsiTheme="minorHAnsi"/>
        <w:sz w:val="32"/>
      </w:rPr>
      <w:t>Position</w:t>
    </w:r>
    <w:r w:rsidR="00D0530D">
      <w:rPr>
        <w:rFonts w:asciiTheme="minorHAnsi" w:hAnsiTheme="minorHAnsi"/>
        <w:sz w:val="32"/>
      </w:rPr>
      <w:t xml:space="preserve"> </w:t>
    </w:r>
    <w:r w:rsidR="00905D7B">
      <w:rPr>
        <w:rFonts w:asciiTheme="minorHAnsi" w:hAnsiTheme="minorHAnsi"/>
        <w:sz w:val="32"/>
      </w:rPr>
      <w:t>Paper</w:t>
    </w:r>
    <w:r w:rsidR="00E641DB">
      <w:rPr>
        <w:rFonts w:asciiTheme="minorHAnsi" w:hAnsiTheme="minorHAnsi"/>
        <w:sz w:val="32"/>
      </w:rPr>
      <w:t xml:space="preserv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E1AB8"/>
    <w:multiLevelType w:val="hybridMultilevel"/>
    <w:tmpl w:val="8954D3D8"/>
    <w:lvl w:ilvl="0" w:tplc="0409000F">
      <w:start w:val="1"/>
      <w:numFmt w:val="decimal"/>
      <w:lvlText w:val="%1."/>
      <w:lvlJc w:val="lef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6"/>
  </w:num>
  <w:num w:numId="4">
    <w:abstractNumId w:val="3"/>
  </w:num>
  <w:num w:numId="5">
    <w:abstractNumId w:val="2"/>
  </w:num>
  <w:num w:numId="6">
    <w:abstractNumId w:val="1"/>
  </w:num>
  <w:num w:numId="7">
    <w:abstractNumId w:val="0"/>
  </w:num>
  <w:num w:numId="8">
    <w:abstractNumId w:val="9"/>
  </w:num>
  <w:num w:numId="9">
    <w:abstractNumId w:val="15"/>
  </w:num>
  <w:num w:numId="10">
    <w:abstractNumId w:val="13"/>
  </w:num>
  <w:num w:numId="11">
    <w:abstractNumId w:val="11"/>
  </w:num>
  <w:num w:numId="12">
    <w:abstractNumId w:val="14"/>
  </w:num>
  <w:num w:numId="13">
    <w:abstractNumId w:val="8"/>
  </w:num>
  <w:num w:numId="14">
    <w:abstractNumId w:val="10"/>
  </w:num>
  <w:num w:numId="15">
    <w:abstractNumId w:val="17"/>
  </w:num>
  <w:num w:numId="16">
    <w:abstractNumId w:val="5"/>
  </w:num>
  <w:num w:numId="17">
    <w:abstractNumId w:val="12"/>
  </w:num>
  <w:num w:numId="18">
    <w:abstractNumId w:val="23"/>
  </w:num>
  <w:num w:numId="19">
    <w:abstractNumId w:val="20"/>
  </w:num>
  <w:num w:numId="20">
    <w:abstractNumId w:val="16"/>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28EC"/>
    <w:rsid w:val="00011463"/>
    <w:rsid w:val="0001466E"/>
    <w:rsid w:val="000453C5"/>
    <w:rsid w:val="00053123"/>
    <w:rsid w:val="0006741A"/>
    <w:rsid w:val="00074688"/>
    <w:rsid w:val="00074A55"/>
    <w:rsid w:val="0008011E"/>
    <w:rsid w:val="000928D9"/>
    <w:rsid w:val="0009688F"/>
    <w:rsid w:val="000B3111"/>
    <w:rsid w:val="000C0E21"/>
    <w:rsid w:val="000C7B49"/>
    <w:rsid w:val="000E3FDF"/>
    <w:rsid w:val="000F700D"/>
    <w:rsid w:val="001147A0"/>
    <w:rsid w:val="00115CF8"/>
    <w:rsid w:val="00124F91"/>
    <w:rsid w:val="0012715F"/>
    <w:rsid w:val="001310A3"/>
    <w:rsid w:val="00156EF7"/>
    <w:rsid w:val="00171E46"/>
    <w:rsid w:val="0018752C"/>
    <w:rsid w:val="001A5E2C"/>
    <w:rsid w:val="001B6864"/>
    <w:rsid w:val="001D40C4"/>
    <w:rsid w:val="001E45B8"/>
    <w:rsid w:val="001E60EE"/>
    <w:rsid w:val="001E6F57"/>
    <w:rsid w:val="001F3A2B"/>
    <w:rsid w:val="00200A58"/>
    <w:rsid w:val="00202660"/>
    <w:rsid w:val="0020389E"/>
    <w:rsid w:val="00210DD0"/>
    <w:rsid w:val="00213D94"/>
    <w:rsid w:val="002208F1"/>
    <w:rsid w:val="00230974"/>
    <w:rsid w:val="00244470"/>
    <w:rsid w:val="00245DF7"/>
    <w:rsid w:val="00246F96"/>
    <w:rsid w:val="002479EF"/>
    <w:rsid w:val="002542F2"/>
    <w:rsid w:val="00254FC0"/>
    <w:rsid w:val="00255F93"/>
    <w:rsid w:val="00257D56"/>
    <w:rsid w:val="002629FA"/>
    <w:rsid w:val="00266DE9"/>
    <w:rsid w:val="00273469"/>
    <w:rsid w:val="00277DC7"/>
    <w:rsid w:val="00281D8A"/>
    <w:rsid w:val="0029144B"/>
    <w:rsid w:val="002A3EB0"/>
    <w:rsid w:val="002A5C61"/>
    <w:rsid w:val="002C0344"/>
    <w:rsid w:val="002C131F"/>
    <w:rsid w:val="002C51B2"/>
    <w:rsid w:val="002E6117"/>
    <w:rsid w:val="002F57FA"/>
    <w:rsid w:val="002F6648"/>
    <w:rsid w:val="0030084D"/>
    <w:rsid w:val="00305C57"/>
    <w:rsid w:val="0030628A"/>
    <w:rsid w:val="00324FB3"/>
    <w:rsid w:val="00347308"/>
    <w:rsid w:val="00362359"/>
    <w:rsid w:val="00375E78"/>
    <w:rsid w:val="00382AA2"/>
    <w:rsid w:val="00384C83"/>
    <w:rsid w:val="00391BB7"/>
    <w:rsid w:val="003B15DD"/>
    <w:rsid w:val="003B345C"/>
    <w:rsid w:val="003C2B4A"/>
    <w:rsid w:val="003C686A"/>
    <w:rsid w:val="003D27B2"/>
    <w:rsid w:val="003D2D7A"/>
    <w:rsid w:val="003E28A0"/>
    <w:rsid w:val="003E7371"/>
    <w:rsid w:val="003F016B"/>
    <w:rsid w:val="00402D78"/>
    <w:rsid w:val="004276FF"/>
    <w:rsid w:val="00437683"/>
    <w:rsid w:val="00442E96"/>
    <w:rsid w:val="0044428A"/>
    <w:rsid w:val="004716A8"/>
    <w:rsid w:val="0049507E"/>
    <w:rsid w:val="004975E2"/>
    <w:rsid w:val="004A2852"/>
    <w:rsid w:val="004B04B3"/>
    <w:rsid w:val="004C13D3"/>
    <w:rsid w:val="004C60DD"/>
    <w:rsid w:val="004E456D"/>
    <w:rsid w:val="004F6804"/>
    <w:rsid w:val="005056DF"/>
    <w:rsid w:val="00520EF0"/>
    <w:rsid w:val="005445C4"/>
    <w:rsid w:val="00556680"/>
    <w:rsid w:val="0056384A"/>
    <w:rsid w:val="0056792B"/>
    <w:rsid w:val="005761B8"/>
    <w:rsid w:val="005B36B4"/>
    <w:rsid w:val="005B382E"/>
    <w:rsid w:val="005B5833"/>
    <w:rsid w:val="005D4A27"/>
    <w:rsid w:val="005D7123"/>
    <w:rsid w:val="005F3D8E"/>
    <w:rsid w:val="005F4E22"/>
    <w:rsid w:val="00612144"/>
    <w:rsid w:val="00614C6D"/>
    <w:rsid w:val="00614F7A"/>
    <w:rsid w:val="00617250"/>
    <w:rsid w:val="006206E0"/>
    <w:rsid w:val="006227D6"/>
    <w:rsid w:val="0063170A"/>
    <w:rsid w:val="00642FFA"/>
    <w:rsid w:val="0065297E"/>
    <w:rsid w:val="00655FDE"/>
    <w:rsid w:val="00660F95"/>
    <w:rsid w:val="00677C39"/>
    <w:rsid w:val="00680AC5"/>
    <w:rsid w:val="00684DC7"/>
    <w:rsid w:val="00685921"/>
    <w:rsid w:val="006959C4"/>
    <w:rsid w:val="006B07F7"/>
    <w:rsid w:val="006B75A6"/>
    <w:rsid w:val="006C1360"/>
    <w:rsid w:val="006D7DFB"/>
    <w:rsid w:val="006E03BB"/>
    <w:rsid w:val="0070738E"/>
    <w:rsid w:val="00710D7A"/>
    <w:rsid w:val="00713DA9"/>
    <w:rsid w:val="00714AC4"/>
    <w:rsid w:val="00717578"/>
    <w:rsid w:val="007316D6"/>
    <w:rsid w:val="00742420"/>
    <w:rsid w:val="00742980"/>
    <w:rsid w:val="00753436"/>
    <w:rsid w:val="007541EA"/>
    <w:rsid w:val="00754D73"/>
    <w:rsid w:val="00755CE2"/>
    <w:rsid w:val="00793390"/>
    <w:rsid w:val="00794334"/>
    <w:rsid w:val="0079454C"/>
    <w:rsid w:val="007A6EA8"/>
    <w:rsid w:val="007B2C72"/>
    <w:rsid w:val="007B2CA1"/>
    <w:rsid w:val="007C4C86"/>
    <w:rsid w:val="007D7088"/>
    <w:rsid w:val="007E0913"/>
    <w:rsid w:val="007F6A23"/>
    <w:rsid w:val="00811031"/>
    <w:rsid w:val="00814E8F"/>
    <w:rsid w:val="0082211C"/>
    <w:rsid w:val="00834B9A"/>
    <w:rsid w:val="00835D15"/>
    <w:rsid w:val="00840944"/>
    <w:rsid w:val="008431A3"/>
    <w:rsid w:val="0084460E"/>
    <w:rsid w:val="00850E2C"/>
    <w:rsid w:val="008612FE"/>
    <w:rsid w:val="00873287"/>
    <w:rsid w:val="00884B99"/>
    <w:rsid w:val="00885468"/>
    <w:rsid w:val="008A3F93"/>
    <w:rsid w:val="008A6680"/>
    <w:rsid w:val="008C2E4C"/>
    <w:rsid w:val="008D3AEE"/>
    <w:rsid w:val="008E34B9"/>
    <w:rsid w:val="008F1FA1"/>
    <w:rsid w:val="008F7DF8"/>
    <w:rsid w:val="00903A0C"/>
    <w:rsid w:val="00905D7B"/>
    <w:rsid w:val="00906ED3"/>
    <w:rsid w:val="009176E5"/>
    <w:rsid w:val="009178E1"/>
    <w:rsid w:val="00922BDE"/>
    <w:rsid w:val="009321A5"/>
    <w:rsid w:val="0093411F"/>
    <w:rsid w:val="0093757F"/>
    <w:rsid w:val="00943DC9"/>
    <w:rsid w:val="0094703B"/>
    <w:rsid w:val="00950DDB"/>
    <w:rsid w:val="00951C84"/>
    <w:rsid w:val="00962760"/>
    <w:rsid w:val="00963CF5"/>
    <w:rsid w:val="009728E5"/>
    <w:rsid w:val="0099726B"/>
    <w:rsid w:val="009A512E"/>
    <w:rsid w:val="009B373B"/>
    <w:rsid w:val="009B3DF9"/>
    <w:rsid w:val="009B46A7"/>
    <w:rsid w:val="009C145E"/>
    <w:rsid w:val="009D7B4D"/>
    <w:rsid w:val="009E448C"/>
    <w:rsid w:val="009E5112"/>
    <w:rsid w:val="00A2622D"/>
    <w:rsid w:val="00A41432"/>
    <w:rsid w:val="00A64C29"/>
    <w:rsid w:val="00A7516A"/>
    <w:rsid w:val="00A77308"/>
    <w:rsid w:val="00A868E1"/>
    <w:rsid w:val="00A911B8"/>
    <w:rsid w:val="00AA017B"/>
    <w:rsid w:val="00AB4F60"/>
    <w:rsid w:val="00AB72D0"/>
    <w:rsid w:val="00AC06AF"/>
    <w:rsid w:val="00AC2CD2"/>
    <w:rsid w:val="00AC54D3"/>
    <w:rsid w:val="00AD192A"/>
    <w:rsid w:val="00AF0197"/>
    <w:rsid w:val="00AF6BD9"/>
    <w:rsid w:val="00AF6D8B"/>
    <w:rsid w:val="00B17D65"/>
    <w:rsid w:val="00B24956"/>
    <w:rsid w:val="00B32748"/>
    <w:rsid w:val="00B32AE0"/>
    <w:rsid w:val="00B3571B"/>
    <w:rsid w:val="00B426FF"/>
    <w:rsid w:val="00B4503F"/>
    <w:rsid w:val="00B506B3"/>
    <w:rsid w:val="00B555AF"/>
    <w:rsid w:val="00B63743"/>
    <w:rsid w:val="00B72016"/>
    <w:rsid w:val="00B8132D"/>
    <w:rsid w:val="00B878FA"/>
    <w:rsid w:val="00B90DAD"/>
    <w:rsid w:val="00B938BC"/>
    <w:rsid w:val="00BA5A26"/>
    <w:rsid w:val="00BB53DB"/>
    <w:rsid w:val="00BB5BC4"/>
    <w:rsid w:val="00BB5F9B"/>
    <w:rsid w:val="00BC370C"/>
    <w:rsid w:val="00BC690C"/>
    <w:rsid w:val="00BD2521"/>
    <w:rsid w:val="00BD441B"/>
    <w:rsid w:val="00BE05D4"/>
    <w:rsid w:val="00BE7657"/>
    <w:rsid w:val="00BF20F6"/>
    <w:rsid w:val="00C05FE2"/>
    <w:rsid w:val="00C17C22"/>
    <w:rsid w:val="00C20748"/>
    <w:rsid w:val="00C20EE4"/>
    <w:rsid w:val="00C242BA"/>
    <w:rsid w:val="00C26B8F"/>
    <w:rsid w:val="00C26BF0"/>
    <w:rsid w:val="00C26E0E"/>
    <w:rsid w:val="00C2729C"/>
    <w:rsid w:val="00C27CE8"/>
    <w:rsid w:val="00C32C11"/>
    <w:rsid w:val="00C46771"/>
    <w:rsid w:val="00C55B6E"/>
    <w:rsid w:val="00C57363"/>
    <w:rsid w:val="00C67082"/>
    <w:rsid w:val="00C74D9F"/>
    <w:rsid w:val="00C910A7"/>
    <w:rsid w:val="00C91D86"/>
    <w:rsid w:val="00C92D9D"/>
    <w:rsid w:val="00C94F57"/>
    <w:rsid w:val="00C94FBF"/>
    <w:rsid w:val="00C953CA"/>
    <w:rsid w:val="00CA14CA"/>
    <w:rsid w:val="00CA44C4"/>
    <w:rsid w:val="00CB43EB"/>
    <w:rsid w:val="00CB5DE1"/>
    <w:rsid w:val="00CC031E"/>
    <w:rsid w:val="00CC097E"/>
    <w:rsid w:val="00CD6066"/>
    <w:rsid w:val="00CE3414"/>
    <w:rsid w:val="00CE39FF"/>
    <w:rsid w:val="00CF293F"/>
    <w:rsid w:val="00D021B1"/>
    <w:rsid w:val="00D0530D"/>
    <w:rsid w:val="00D0545B"/>
    <w:rsid w:val="00D12F3F"/>
    <w:rsid w:val="00D2342A"/>
    <w:rsid w:val="00D31974"/>
    <w:rsid w:val="00D37B2F"/>
    <w:rsid w:val="00D53D16"/>
    <w:rsid w:val="00D54911"/>
    <w:rsid w:val="00D564FD"/>
    <w:rsid w:val="00D708EE"/>
    <w:rsid w:val="00D71751"/>
    <w:rsid w:val="00D741CD"/>
    <w:rsid w:val="00D77D98"/>
    <w:rsid w:val="00D84C8E"/>
    <w:rsid w:val="00D97570"/>
    <w:rsid w:val="00DC1E9B"/>
    <w:rsid w:val="00DD5DC6"/>
    <w:rsid w:val="00DE1F78"/>
    <w:rsid w:val="00DE346C"/>
    <w:rsid w:val="00E02C92"/>
    <w:rsid w:val="00E107AD"/>
    <w:rsid w:val="00E21DE5"/>
    <w:rsid w:val="00E305D9"/>
    <w:rsid w:val="00E31E60"/>
    <w:rsid w:val="00E3240F"/>
    <w:rsid w:val="00E46EBA"/>
    <w:rsid w:val="00E55085"/>
    <w:rsid w:val="00E641DB"/>
    <w:rsid w:val="00E7184D"/>
    <w:rsid w:val="00E72C50"/>
    <w:rsid w:val="00E749D0"/>
    <w:rsid w:val="00E82A4B"/>
    <w:rsid w:val="00E86CD3"/>
    <w:rsid w:val="00E86DF4"/>
    <w:rsid w:val="00E90A82"/>
    <w:rsid w:val="00E93CD4"/>
    <w:rsid w:val="00E97C0E"/>
    <w:rsid w:val="00EA3427"/>
    <w:rsid w:val="00EC7577"/>
    <w:rsid w:val="00ED6A35"/>
    <w:rsid w:val="00EE1A1D"/>
    <w:rsid w:val="00F056D3"/>
    <w:rsid w:val="00F07668"/>
    <w:rsid w:val="00F21151"/>
    <w:rsid w:val="00F26CD1"/>
    <w:rsid w:val="00F37C5C"/>
    <w:rsid w:val="00F44314"/>
    <w:rsid w:val="00F47B9A"/>
    <w:rsid w:val="00F55B46"/>
    <w:rsid w:val="00F56DC3"/>
    <w:rsid w:val="00F72AAB"/>
    <w:rsid w:val="00F807CB"/>
    <w:rsid w:val="00FA5516"/>
    <w:rsid w:val="00FB1BD4"/>
    <w:rsid w:val="00FC20BB"/>
    <w:rsid w:val="00FC3D17"/>
    <w:rsid w:val="00FC525F"/>
    <w:rsid w:val="00FC70BD"/>
    <w:rsid w:val="00FD10B6"/>
    <w:rsid w:val="00FE6CFD"/>
    <w:rsid w:val="00FF5B30"/>
    <w:rsid w:val="00FF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45C402"/>
  <w15:docId w15:val="{1862DCCA-286D-4538-94CE-C1B4F13D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customStyle="1" w:styleId="GridTable41">
    <w:name w:val="Grid Table 41"/>
    <w:basedOn w:val="TableNormal"/>
    <w:uiPriority w:val="49"/>
    <w:rsid w:val="00CC03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D975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8132D"/>
    <w:rPr>
      <w:rFonts w:ascii="Garamond" w:hAnsi="Garamond"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CB8F-4322-416A-9721-65AB71149CF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F0C7254-9E9F-4972-98E6-3FD09B3623D7}">
  <ds:schemaRefs>
    <ds:schemaRef ds:uri="http://schemas.microsoft.com/sharepoint/v3/contenttype/forms"/>
  </ds:schemaRefs>
</ds:datastoreItem>
</file>

<file path=customXml/itemProps3.xml><?xml version="1.0" encoding="utf-8"?>
<ds:datastoreItem xmlns:ds="http://schemas.openxmlformats.org/officeDocument/2006/customXml" ds:itemID="{4EB85EBB-5A86-4A48-AA9C-E58746F92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E2A64F-15EE-4E45-B093-C2ECF04F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Susannah</dc:creator>
  <cp:lastModifiedBy>Curtis, Michael R CIV OSD OUSD P-R (US)</cp:lastModifiedBy>
  <cp:revision>2</cp:revision>
  <cp:lastPrinted>2014-10-08T16:46:00Z</cp:lastPrinted>
  <dcterms:created xsi:type="dcterms:W3CDTF">2019-08-20T19:54:00Z</dcterms:created>
  <dcterms:modified xsi:type="dcterms:W3CDTF">2019-08-20T19:54:00Z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